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052F29A8" w:rsidR="0001495D" w:rsidRPr="002C2848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2C2848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5654A8">
        <w:rPr>
          <w:rFonts w:ascii="Times New Roman" w:hAnsi="Times New Roman" w:cs="Times New Roman"/>
          <w:color w:val="0070C0"/>
          <w:sz w:val="32"/>
          <w:szCs w:val="32"/>
        </w:rPr>
        <w:t>100.8</w:t>
      </w:r>
      <w:bookmarkStart w:id="0" w:name="_GoBack"/>
      <w:bookmarkEnd w:id="0"/>
    </w:p>
    <w:p w14:paraId="53542973" w14:textId="2AA922F8" w:rsidR="0001495D" w:rsidRPr="002C2848" w:rsidRDefault="006D0389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2C2848">
        <w:rPr>
          <w:rFonts w:ascii="Times New Roman" w:hAnsi="Times New Roman" w:cs="Times New Roman"/>
          <w:color w:val="0070C0"/>
          <w:sz w:val="32"/>
          <w:szCs w:val="32"/>
        </w:rPr>
        <w:t>Conflicts of Interest</w:t>
      </w:r>
    </w:p>
    <w:p w14:paraId="17C7E03B" w14:textId="334C1D80" w:rsidR="0001495D" w:rsidRPr="002C2848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2C2848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7B6233" w:rsidRPr="002C2848">
        <w:rPr>
          <w:rFonts w:ascii="Times New Roman" w:hAnsi="Times New Roman" w:cs="Times New Roman"/>
          <w:color w:val="0070C0"/>
          <w:sz w:val="32"/>
          <w:szCs w:val="32"/>
        </w:rPr>
        <w:t>12/16/21</w:t>
      </w:r>
    </w:p>
    <w:p w14:paraId="3465F088" w14:textId="73829595" w:rsidR="0001495D" w:rsidRPr="0001495D" w:rsidRDefault="0001495D" w:rsidP="002C2848">
      <w:pPr>
        <w:tabs>
          <w:tab w:val="left" w:pos="96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14:paraId="2E9B773F" w14:textId="54E38351" w:rsidR="00DF5AD7" w:rsidRPr="00BE6CF9" w:rsidRDefault="00DF5AD7" w:rsidP="00DF5AD7">
      <w:p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 xml:space="preserve">Kingdom College’s ethics covers conflicts of interest. Most conflicts of interest appear in employment and are covered in The Employee </w:t>
      </w:r>
      <w:r w:rsidR="00397A78" w:rsidRPr="00BE6CF9">
        <w:rPr>
          <w:rFonts w:asciiTheme="majorBidi" w:hAnsiTheme="majorBidi" w:cstheme="majorBidi"/>
          <w:sz w:val="24"/>
          <w:szCs w:val="24"/>
        </w:rPr>
        <w:t xml:space="preserve">and Faculty </w:t>
      </w:r>
      <w:r w:rsidRPr="00BE6CF9">
        <w:rPr>
          <w:rFonts w:asciiTheme="majorBidi" w:hAnsiTheme="majorBidi" w:cstheme="majorBidi"/>
          <w:sz w:val="24"/>
          <w:szCs w:val="24"/>
        </w:rPr>
        <w:t>Handbook. Please find below a list of potential conflicts that we are watchful against should one arise in our day-to-day business:</w:t>
      </w:r>
    </w:p>
    <w:p w14:paraId="3C47D0B1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F61EF">
        <w:rPr>
          <w:rFonts w:asciiTheme="majorBidi" w:hAnsiTheme="majorBidi" w:cstheme="majorBidi"/>
          <w:sz w:val="24"/>
          <w:szCs w:val="24"/>
        </w:rPr>
        <w:t xml:space="preserve">Kingdom College will not hire an unqualified relative to perform services. We will do all </w:t>
      </w:r>
      <w:r w:rsidR="002C2848" w:rsidRPr="006F61EF">
        <w:rPr>
          <w:rFonts w:asciiTheme="majorBidi" w:hAnsiTheme="majorBidi" w:cstheme="majorBidi"/>
          <w:sz w:val="24"/>
          <w:szCs w:val="24"/>
        </w:rPr>
        <w:t>our power to secure qualified workers</w:t>
      </w:r>
      <w:r w:rsidRPr="006F61EF">
        <w:rPr>
          <w:rFonts w:asciiTheme="majorBidi" w:hAnsiTheme="majorBidi" w:cstheme="majorBidi"/>
          <w:sz w:val="24"/>
          <w:szCs w:val="24"/>
        </w:rPr>
        <w:t xml:space="preserve"> to fill any available position.</w:t>
      </w:r>
    </w:p>
    <w:p w14:paraId="6BD0834C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Our professors will not be allowed to teach at another institution without prior permission</w:t>
      </w:r>
      <w:r w:rsidR="00157500" w:rsidRPr="00F1583D">
        <w:rPr>
          <w:rFonts w:asciiTheme="majorBidi" w:hAnsiTheme="majorBidi" w:cstheme="majorBidi"/>
          <w:sz w:val="24"/>
          <w:szCs w:val="24"/>
        </w:rPr>
        <w:t xml:space="preserve"> or awareness by the administration. </w:t>
      </w:r>
    </w:p>
    <w:p w14:paraId="0809BC1C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Employees are not to accept gifts for their services. If a gift is offered as a personal thank-you for having been a student’s advisor</w:t>
      </w:r>
      <w:r w:rsidR="002C2848" w:rsidRPr="00F1583D">
        <w:rPr>
          <w:rFonts w:asciiTheme="majorBidi" w:hAnsiTheme="majorBidi" w:cstheme="majorBidi"/>
          <w:sz w:val="24"/>
          <w:szCs w:val="24"/>
        </w:rPr>
        <w:t xml:space="preserve"> or </w:t>
      </w:r>
      <w:r w:rsidRPr="00F1583D">
        <w:rPr>
          <w:rFonts w:asciiTheme="majorBidi" w:hAnsiTheme="majorBidi" w:cstheme="majorBidi"/>
          <w:sz w:val="24"/>
          <w:szCs w:val="24"/>
        </w:rPr>
        <w:t>professor and the gift is under the value of $25.00</w:t>
      </w:r>
      <w:r w:rsidR="00157500" w:rsidRPr="00F1583D">
        <w:rPr>
          <w:rFonts w:asciiTheme="majorBidi" w:hAnsiTheme="majorBidi" w:cstheme="majorBidi"/>
          <w:sz w:val="24"/>
          <w:szCs w:val="24"/>
        </w:rPr>
        <w:t>,</w:t>
      </w:r>
      <w:r w:rsidRPr="00F1583D">
        <w:rPr>
          <w:rFonts w:asciiTheme="majorBidi" w:hAnsiTheme="majorBidi" w:cstheme="majorBidi"/>
          <w:sz w:val="24"/>
          <w:szCs w:val="24"/>
        </w:rPr>
        <w:t xml:space="preserve"> this is considered acceptable. Gifts over $25.00 for any reason other than a thank-you are inappropriate.  </w:t>
      </w:r>
    </w:p>
    <w:p w14:paraId="6BEEE0FB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Social media use to vent complaints about the coll</w:t>
      </w:r>
      <w:r w:rsidR="00397A78" w:rsidRPr="00F1583D">
        <w:rPr>
          <w:rFonts w:asciiTheme="majorBidi" w:hAnsiTheme="majorBidi" w:cstheme="majorBidi"/>
          <w:sz w:val="24"/>
          <w:szCs w:val="24"/>
        </w:rPr>
        <w:t xml:space="preserve">ege </w:t>
      </w:r>
      <w:r w:rsidR="002C2848" w:rsidRPr="00F1583D">
        <w:rPr>
          <w:rFonts w:asciiTheme="majorBidi" w:hAnsiTheme="majorBidi" w:cstheme="majorBidi"/>
          <w:sz w:val="24"/>
          <w:szCs w:val="24"/>
        </w:rPr>
        <w:t>to harm</w:t>
      </w:r>
      <w:r w:rsidR="00397A78" w:rsidRPr="00F1583D">
        <w:rPr>
          <w:rFonts w:asciiTheme="majorBidi" w:hAnsiTheme="majorBidi" w:cstheme="majorBidi"/>
          <w:sz w:val="24"/>
          <w:szCs w:val="24"/>
        </w:rPr>
        <w:t xml:space="preserve"> the reputation of Kingdom College may result in disciplinary action up to and including termination. </w:t>
      </w:r>
    </w:p>
    <w:p w14:paraId="47F1B186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Employees will not utilize social media to speak against another educational institution.</w:t>
      </w:r>
    </w:p>
    <w:p w14:paraId="37C05FE4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Professors</w:t>
      </w:r>
      <w:r w:rsidR="002C2848" w:rsidRPr="00F1583D">
        <w:rPr>
          <w:rFonts w:asciiTheme="majorBidi" w:hAnsiTheme="majorBidi" w:cstheme="majorBidi"/>
          <w:sz w:val="24"/>
          <w:szCs w:val="24"/>
        </w:rPr>
        <w:t xml:space="preserve"> and staff will not engage in inappropriate relationships while employed by Kingdom College, i.e.,</w:t>
      </w:r>
      <w:r w:rsidRPr="00F1583D">
        <w:rPr>
          <w:rFonts w:asciiTheme="majorBidi" w:hAnsiTheme="majorBidi" w:cstheme="majorBidi"/>
          <w:sz w:val="24"/>
          <w:szCs w:val="24"/>
        </w:rPr>
        <w:t xml:space="preserve"> a professor and a student.</w:t>
      </w:r>
    </w:p>
    <w:p w14:paraId="21625327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Employees</w:t>
      </w:r>
      <w:r w:rsidR="002C2848" w:rsidRPr="00F1583D">
        <w:rPr>
          <w:rFonts w:asciiTheme="majorBidi" w:hAnsiTheme="majorBidi" w:cstheme="majorBidi"/>
          <w:sz w:val="24"/>
          <w:szCs w:val="24"/>
        </w:rPr>
        <w:t xml:space="preserve"> and professors will not make sales of copyrighted</w:t>
      </w:r>
      <w:r w:rsidRPr="00F1583D">
        <w:rPr>
          <w:rFonts w:asciiTheme="majorBidi" w:hAnsiTheme="majorBidi" w:cstheme="majorBidi"/>
          <w:sz w:val="24"/>
          <w:szCs w:val="24"/>
        </w:rPr>
        <w:t xml:space="preserve"> materials or proprietary educational work from Kingdom College.   </w:t>
      </w:r>
    </w:p>
    <w:p w14:paraId="712772D9" w14:textId="77777777" w:rsidR="00F1583D" w:rsidRDefault="00DF5AD7" w:rsidP="00F158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Professors</w:t>
      </w:r>
      <w:r w:rsidR="002C2848" w:rsidRPr="00F1583D">
        <w:rPr>
          <w:rFonts w:asciiTheme="majorBidi" w:hAnsiTheme="majorBidi" w:cstheme="majorBidi"/>
          <w:sz w:val="24"/>
          <w:szCs w:val="24"/>
        </w:rPr>
        <w:t xml:space="preserve"> and </w:t>
      </w:r>
      <w:r w:rsidRPr="00F1583D">
        <w:rPr>
          <w:rFonts w:asciiTheme="majorBidi" w:hAnsiTheme="majorBidi" w:cstheme="majorBidi"/>
          <w:sz w:val="24"/>
          <w:szCs w:val="24"/>
        </w:rPr>
        <w:t xml:space="preserve">staff will remain confidential members of the staff of Kingdom College, and any breach of confidentiality </w:t>
      </w:r>
      <w:r w:rsidR="00157500" w:rsidRPr="00F1583D">
        <w:rPr>
          <w:rFonts w:asciiTheme="majorBidi" w:hAnsiTheme="majorBidi" w:cstheme="majorBidi"/>
          <w:sz w:val="24"/>
          <w:szCs w:val="24"/>
        </w:rPr>
        <w:t>may result in disciplinary action up to and including removal</w:t>
      </w:r>
      <w:r w:rsidRPr="00F1583D">
        <w:rPr>
          <w:rFonts w:asciiTheme="majorBidi" w:hAnsiTheme="majorBidi" w:cstheme="majorBidi"/>
          <w:sz w:val="24"/>
          <w:szCs w:val="24"/>
        </w:rPr>
        <w:t>.</w:t>
      </w:r>
    </w:p>
    <w:p w14:paraId="7CE35DDE" w14:textId="77777777" w:rsidR="009825E9" w:rsidRDefault="00DF5AD7" w:rsidP="009825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>Professors</w:t>
      </w:r>
      <w:r w:rsidR="002C2848" w:rsidRPr="00F1583D">
        <w:rPr>
          <w:rFonts w:asciiTheme="majorBidi" w:hAnsiTheme="majorBidi" w:cstheme="majorBidi"/>
          <w:sz w:val="24"/>
          <w:szCs w:val="24"/>
        </w:rPr>
        <w:t xml:space="preserve"> and </w:t>
      </w:r>
      <w:r w:rsidRPr="00F1583D">
        <w:rPr>
          <w:rFonts w:asciiTheme="majorBidi" w:hAnsiTheme="majorBidi" w:cstheme="majorBidi"/>
          <w:sz w:val="24"/>
          <w:szCs w:val="24"/>
        </w:rPr>
        <w:t>staff not participating as a designated spokesman for Kingdom College will not act in that capacity in a disaster or crisis.</w:t>
      </w:r>
    </w:p>
    <w:p w14:paraId="1FA2CF80" w14:textId="44228F61" w:rsidR="00F1583D" w:rsidRPr="009825E9" w:rsidRDefault="00DF5AD7" w:rsidP="009825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825E9">
        <w:rPr>
          <w:rFonts w:asciiTheme="majorBidi" w:hAnsiTheme="majorBidi" w:cstheme="majorBidi"/>
          <w:sz w:val="24"/>
          <w:szCs w:val="24"/>
        </w:rPr>
        <w:t>Faculty will not allow a non-registered student to sit in on any class without prior permission from the Chair of that department.</w:t>
      </w:r>
    </w:p>
    <w:p w14:paraId="1D75C10E" w14:textId="77777777" w:rsidR="009825E9" w:rsidRPr="009825E9" w:rsidRDefault="00DF5AD7" w:rsidP="009825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1583D">
        <w:rPr>
          <w:rFonts w:asciiTheme="majorBidi" w:hAnsiTheme="majorBidi" w:cstheme="majorBidi"/>
          <w:sz w:val="24"/>
          <w:szCs w:val="24"/>
        </w:rPr>
        <w:t xml:space="preserve">Federal and state laws and regulations address conflict of interest standards. </w:t>
      </w:r>
      <w:hyperlink r:id="rId7" w:history="1">
        <w:r w:rsidRPr="00F1583D">
          <w:rPr>
            <w:rStyle w:val="Hyperlink"/>
            <w:rFonts w:asciiTheme="majorBidi" w:hAnsiTheme="majorBidi" w:cstheme="majorBidi"/>
            <w:sz w:val="24"/>
            <w:szCs w:val="24"/>
          </w:rPr>
          <w:t>https://www.alsde.edu/dept/forms/Documents/Conflict%20of%20Interest%20Policy%20ALSDE%20February%202016.pdf</w:t>
        </w:r>
      </w:hyperlink>
    </w:p>
    <w:p w14:paraId="75C65C02" w14:textId="7E6901C4" w:rsidR="00DF5AD7" w:rsidRPr="009825E9" w:rsidRDefault="00DF5AD7" w:rsidP="009825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825E9">
        <w:rPr>
          <w:rFonts w:asciiTheme="majorBidi" w:hAnsiTheme="majorBidi" w:cstheme="majorBidi"/>
          <w:sz w:val="24"/>
          <w:szCs w:val="24"/>
        </w:rPr>
        <w:lastRenderedPageBreak/>
        <w:t>Federal regulations pertaining to conflict of interest will be followed in the following areas:</w:t>
      </w:r>
    </w:p>
    <w:p w14:paraId="55C4C1B2" w14:textId="77777777" w:rsidR="00DF5AD7" w:rsidRPr="00BE6CF9" w:rsidRDefault="00DF5AD7" w:rsidP="00DF5AD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Public Health Service Regulations  (</w:t>
      </w:r>
      <w:hyperlink r:id="rId8" w:history="1">
        <w:r w:rsidRPr="00BE6CF9">
          <w:rPr>
            <w:rStyle w:val="Hyperlink"/>
            <w:rFonts w:asciiTheme="majorBidi" w:hAnsiTheme="majorBidi" w:cstheme="majorBidi"/>
            <w:sz w:val="24"/>
            <w:szCs w:val="24"/>
          </w:rPr>
          <w:t>http://www.gpo.gov/fdsys/pkg/FR-2011-08-25/pdf/2011-21633.pdf</w:t>
        </w:r>
      </w:hyperlink>
      <w:r w:rsidRPr="00BE6CF9">
        <w:rPr>
          <w:rFonts w:asciiTheme="majorBidi" w:hAnsiTheme="majorBidi" w:cstheme="majorBidi"/>
          <w:sz w:val="24"/>
          <w:szCs w:val="24"/>
        </w:rPr>
        <w:t xml:space="preserve">) </w:t>
      </w:r>
    </w:p>
    <w:p w14:paraId="7847A500" w14:textId="77777777" w:rsidR="00DF5AD7" w:rsidRPr="00BE6CF9" w:rsidRDefault="00DF5AD7" w:rsidP="00DF5AD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NSF Regulations (National Science Foundation) (</w:t>
      </w:r>
      <w:hyperlink r:id="rId9" w:history="1">
        <w:r w:rsidRPr="00BE6CF9">
          <w:rPr>
            <w:rStyle w:val="Hyperlink"/>
            <w:rFonts w:asciiTheme="majorBidi" w:hAnsiTheme="majorBidi" w:cstheme="majorBidi"/>
            <w:sz w:val="24"/>
            <w:szCs w:val="24"/>
          </w:rPr>
          <w:t>http://www.nsf.gov/pubs/policydocs/pappguide/nsf10_1/aag_4.jsp</w:t>
        </w:r>
      </w:hyperlink>
      <w:r w:rsidRPr="00BE6CF9">
        <w:rPr>
          <w:rFonts w:asciiTheme="majorBidi" w:hAnsiTheme="majorBidi" w:cstheme="majorBidi"/>
          <w:sz w:val="24"/>
          <w:szCs w:val="24"/>
        </w:rPr>
        <w:t xml:space="preserve">) </w:t>
      </w:r>
    </w:p>
    <w:p w14:paraId="6F91DAF2" w14:textId="77777777" w:rsidR="00DF5AD7" w:rsidRPr="00BE6CF9" w:rsidRDefault="00DF5AD7" w:rsidP="00DF5AD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FDA Regulations – Financial Disclosure by Clinical Investigators (</w:t>
      </w:r>
      <w:hyperlink r:id="rId10" w:history="1">
        <w:r w:rsidRPr="00BE6CF9">
          <w:rPr>
            <w:rStyle w:val="Hyperlink"/>
            <w:rFonts w:asciiTheme="majorBidi" w:hAnsiTheme="majorBidi" w:cstheme="majorBidi"/>
            <w:sz w:val="24"/>
            <w:szCs w:val="24"/>
          </w:rPr>
          <w:t>http://www.fda.gov/downloads/RegulatoryInformation/Guidances/UCM341008.pdf</w:t>
        </w:r>
      </w:hyperlink>
      <w:r w:rsidRPr="00BE6CF9">
        <w:rPr>
          <w:rFonts w:asciiTheme="majorBidi" w:hAnsiTheme="majorBidi" w:cstheme="majorBidi"/>
          <w:sz w:val="24"/>
          <w:szCs w:val="24"/>
        </w:rPr>
        <w:t>)</w:t>
      </w:r>
    </w:p>
    <w:p w14:paraId="4989701F" w14:textId="77777777" w:rsidR="00DF5AD7" w:rsidRPr="00BE6CF9" w:rsidRDefault="00DF5AD7" w:rsidP="00DF5AD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Points of contact for disclosures of conflicts of interest:</w:t>
      </w:r>
    </w:p>
    <w:p w14:paraId="389F38FE" w14:textId="77777777" w:rsidR="00DF5AD7" w:rsidRPr="00BE6CF9" w:rsidRDefault="00DF5AD7" w:rsidP="00DF5AD7">
      <w:pPr>
        <w:pStyle w:val="ListParagraph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Director of Human Resources</w:t>
      </w:r>
    </w:p>
    <w:p w14:paraId="4F5A390C" w14:textId="77777777" w:rsidR="00DF5AD7" w:rsidRPr="00BE6CF9" w:rsidRDefault="00DF5AD7" w:rsidP="00DF5AD7">
      <w:pPr>
        <w:pStyle w:val="ListParagraph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Chief Academic Officer</w:t>
      </w:r>
    </w:p>
    <w:p w14:paraId="534B53DB" w14:textId="77777777" w:rsidR="00DF5AD7" w:rsidRPr="00BE6CF9" w:rsidRDefault="00DF5AD7" w:rsidP="00DF5AD7">
      <w:pPr>
        <w:pStyle w:val="ListParagraph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Chief Financial Officer</w:t>
      </w:r>
    </w:p>
    <w:p w14:paraId="0BDCD1E0" w14:textId="663FC6A2" w:rsidR="00DF5AD7" w:rsidRPr="00BE6CF9" w:rsidRDefault="00DF5AD7" w:rsidP="00DF5AD7">
      <w:pPr>
        <w:pStyle w:val="ListParagraph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 xml:space="preserve">Director of </w:t>
      </w:r>
      <w:r w:rsidR="00157500" w:rsidRPr="00BE6CF9">
        <w:rPr>
          <w:rFonts w:asciiTheme="majorBidi" w:hAnsiTheme="majorBidi" w:cstheme="majorBidi"/>
          <w:sz w:val="24"/>
          <w:szCs w:val="24"/>
        </w:rPr>
        <w:t xml:space="preserve">Enrollment and </w:t>
      </w:r>
      <w:r w:rsidRPr="00BE6CF9">
        <w:rPr>
          <w:rFonts w:asciiTheme="majorBidi" w:hAnsiTheme="majorBidi" w:cstheme="majorBidi"/>
          <w:sz w:val="24"/>
          <w:szCs w:val="24"/>
        </w:rPr>
        <w:t xml:space="preserve">Student </w:t>
      </w:r>
      <w:r w:rsidR="00157500" w:rsidRPr="00BE6CF9">
        <w:rPr>
          <w:rFonts w:asciiTheme="majorBidi" w:hAnsiTheme="majorBidi" w:cstheme="majorBidi"/>
          <w:sz w:val="24"/>
          <w:szCs w:val="24"/>
        </w:rPr>
        <w:t>Life</w:t>
      </w:r>
    </w:p>
    <w:p w14:paraId="5E079BD0" w14:textId="77777777" w:rsidR="009825E9" w:rsidRDefault="00DF5AD7" w:rsidP="009825E9">
      <w:pPr>
        <w:pStyle w:val="ListParagraph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6CF9">
        <w:rPr>
          <w:rFonts w:asciiTheme="majorBidi" w:hAnsiTheme="majorBidi" w:cstheme="majorBidi"/>
          <w:sz w:val="24"/>
          <w:szCs w:val="24"/>
        </w:rPr>
        <w:t>President</w:t>
      </w:r>
    </w:p>
    <w:p w14:paraId="21B827BA" w14:textId="56C1A5EF" w:rsidR="00DF5AD7" w:rsidRPr="009825E9" w:rsidRDefault="002C2848" w:rsidP="009825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825E9">
        <w:rPr>
          <w:rFonts w:asciiTheme="majorBidi" w:hAnsiTheme="majorBidi" w:cstheme="majorBidi"/>
          <w:sz w:val="24"/>
          <w:szCs w:val="24"/>
        </w:rPr>
        <w:t>All</w:t>
      </w:r>
      <w:r w:rsidR="00DF5AD7" w:rsidRPr="009825E9">
        <w:rPr>
          <w:rFonts w:asciiTheme="majorBidi" w:hAnsiTheme="majorBidi" w:cstheme="majorBidi"/>
          <w:sz w:val="24"/>
          <w:szCs w:val="24"/>
        </w:rPr>
        <w:t xml:space="preserve"> grants offered by any grantor will be under financial review by the CFO and the Chief Academic Officer in conjunction with the department to which the grant has been awarded.</w:t>
      </w:r>
    </w:p>
    <w:p w14:paraId="5250B593" w14:textId="7D529F51" w:rsidR="0001495D" w:rsidRPr="00BE6CF9" w:rsidRDefault="0001495D">
      <w:pPr>
        <w:rPr>
          <w:rFonts w:asciiTheme="majorBidi" w:hAnsiTheme="majorBidi" w:cstheme="majorBidi"/>
          <w:sz w:val="24"/>
          <w:szCs w:val="24"/>
        </w:rPr>
      </w:pPr>
    </w:p>
    <w:p w14:paraId="65B6DB3D" w14:textId="77777777" w:rsidR="0001495D" w:rsidRPr="00BE6CF9" w:rsidRDefault="0001495D">
      <w:pPr>
        <w:rPr>
          <w:rFonts w:asciiTheme="majorBidi" w:hAnsiTheme="majorBidi" w:cstheme="majorBidi"/>
          <w:sz w:val="24"/>
          <w:szCs w:val="24"/>
        </w:rPr>
      </w:pPr>
    </w:p>
    <w:sectPr w:rsidR="0001495D" w:rsidRPr="00BE6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0D51"/>
    <w:multiLevelType w:val="hybridMultilevel"/>
    <w:tmpl w:val="C77C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5F5E6E2D"/>
    <w:multiLevelType w:val="hybridMultilevel"/>
    <w:tmpl w:val="EFB20B56"/>
    <w:lvl w:ilvl="0" w:tplc="1AFC8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764E2"/>
    <w:multiLevelType w:val="hybridMultilevel"/>
    <w:tmpl w:val="EF7AE570"/>
    <w:lvl w:ilvl="0" w:tplc="2C6EBFD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57500"/>
    <w:rsid w:val="0019104A"/>
    <w:rsid w:val="002C2848"/>
    <w:rsid w:val="00317B39"/>
    <w:rsid w:val="0038649E"/>
    <w:rsid w:val="00397A78"/>
    <w:rsid w:val="00531690"/>
    <w:rsid w:val="005654A8"/>
    <w:rsid w:val="006D0389"/>
    <w:rsid w:val="006D1469"/>
    <w:rsid w:val="006F61EF"/>
    <w:rsid w:val="00762ACC"/>
    <w:rsid w:val="007B6233"/>
    <w:rsid w:val="009825E9"/>
    <w:rsid w:val="00BE6CF9"/>
    <w:rsid w:val="00C51884"/>
    <w:rsid w:val="00D615D9"/>
    <w:rsid w:val="00D741E1"/>
    <w:rsid w:val="00DF5AD7"/>
    <w:rsid w:val="00E21FD2"/>
    <w:rsid w:val="00E23752"/>
    <w:rsid w:val="00E47DDF"/>
    <w:rsid w:val="00F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A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A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FR-2011-08-25/pdf/2011-2163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lsde.edu/dept/forms/Documents/Conflict%20of%20Interest%20Policy%20ALSDE%20February%202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da.gov/downloads/RegulatoryInformation/Guidances/UCM3410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f.gov/pubs/policydocs/pappguide/nsf10_1/aag_4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421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15</cp:revision>
  <dcterms:created xsi:type="dcterms:W3CDTF">2021-03-25T15:24:00Z</dcterms:created>
  <dcterms:modified xsi:type="dcterms:W3CDTF">2025-07-22T17:46:00Z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b7515ea2f3650c990eb8978d7f4e94602072f4ca6fe262504a1b2d280e8427f3</vt:lpwstr>
  </property>
</Properties>
</file>