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E52CA" w14:textId="77777777" w:rsidR="00224B48" w:rsidRDefault="00224B48" w:rsidP="003F4ADC">
      <w:pPr>
        <w:pStyle w:val="Heading1"/>
        <w:spacing w:before="0" w:line="360" w:lineRule="auto"/>
        <w:rPr>
          <w:rFonts w:ascii="Times New Roman" w:eastAsia="Verdana" w:hAnsi="Times New Roman" w:cs="Times New Roman"/>
          <w:color w:val="000000" w:themeColor="text1"/>
          <w:sz w:val="24"/>
          <w:szCs w:val="24"/>
        </w:rPr>
      </w:pPr>
    </w:p>
    <w:p w14:paraId="177A8579" w14:textId="184E25EA" w:rsidR="00224B48" w:rsidRPr="00224B48" w:rsidRDefault="00224B48" w:rsidP="007C3C12">
      <w:pPr>
        <w:keepNext/>
        <w:keepLines/>
        <w:spacing w:after="0" w:line="360" w:lineRule="auto"/>
        <w:jc w:val="right"/>
        <w:outlineLvl w:val="0"/>
        <w:rPr>
          <w:rFonts w:ascii="Times New Roman" w:eastAsiaTheme="majorEastAsia" w:hAnsi="Times New Roman" w:cs="Times New Roman"/>
          <w:color w:val="1F497D" w:themeColor="text2"/>
          <w:sz w:val="40"/>
          <w:szCs w:val="40"/>
        </w:rPr>
      </w:pPr>
      <w:r w:rsidRPr="00224B48">
        <w:rPr>
          <w:rFonts w:asciiTheme="majorHAnsi" w:eastAsiaTheme="majorEastAsia" w:hAnsiTheme="majorHAnsi" w:cstheme="majorBidi"/>
          <w:noProof/>
          <w:color w:val="0070C0"/>
          <w:sz w:val="40"/>
          <w:szCs w:val="40"/>
        </w:rPr>
        <w:drawing>
          <wp:inline distT="0" distB="0" distL="0" distR="0" wp14:anchorId="04EC8A58" wp14:editId="0183F7D0">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2646FC65" w14:textId="7132CD58" w:rsidR="00224B48" w:rsidRPr="007C3C12" w:rsidRDefault="00224B48" w:rsidP="00224B48">
      <w:pPr>
        <w:rPr>
          <w:rFonts w:ascii="Times New Roman" w:eastAsiaTheme="minorHAnsi" w:hAnsi="Times New Roman" w:cs="Times New Roman"/>
          <w:b/>
          <w:bCs/>
          <w:color w:val="0070C0"/>
          <w:sz w:val="32"/>
          <w:szCs w:val="32"/>
        </w:rPr>
      </w:pPr>
      <w:r w:rsidRPr="007C3C12">
        <w:rPr>
          <w:rFonts w:ascii="Times New Roman" w:eastAsiaTheme="minorHAnsi" w:hAnsi="Times New Roman" w:cs="Times New Roman"/>
          <w:b/>
          <w:bCs/>
          <w:color w:val="0070C0"/>
          <w:sz w:val="32"/>
          <w:szCs w:val="32"/>
        </w:rPr>
        <w:t xml:space="preserve">KC </w:t>
      </w:r>
      <w:r w:rsidR="003F40BA">
        <w:rPr>
          <w:rFonts w:ascii="Times New Roman" w:eastAsiaTheme="minorHAnsi" w:hAnsi="Times New Roman" w:cs="Times New Roman"/>
          <w:b/>
          <w:bCs/>
          <w:color w:val="0070C0"/>
          <w:sz w:val="32"/>
          <w:szCs w:val="32"/>
        </w:rPr>
        <w:t>200.12</w:t>
      </w:r>
      <w:bookmarkStart w:id="0" w:name="_GoBack"/>
      <w:bookmarkEnd w:id="0"/>
    </w:p>
    <w:p w14:paraId="0C4D646B" w14:textId="77777777" w:rsidR="00224B48" w:rsidRPr="007C3C12" w:rsidRDefault="00224B48" w:rsidP="00224B48">
      <w:pPr>
        <w:rPr>
          <w:rFonts w:ascii="Times New Roman" w:eastAsiaTheme="minorHAnsi" w:hAnsi="Times New Roman" w:cs="Times New Roman"/>
          <w:b/>
          <w:bCs/>
          <w:color w:val="0070C0"/>
          <w:sz w:val="32"/>
          <w:szCs w:val="32"/>
        </w:rPr>
      </w:pPr>
      <w:r w:rsidRPr="007C3C12">
        <w:rPr>
          <w:rFonts w:ascii="Times New Roman" w:eastAsiaTheme="minorHAnsi" w:hAnsi="Times New Roman" w:cs="Times New Roman"/>
          <w:b/>
          <w:bCs/>
          <w:color w:val="0070C0"/>
          <w:sz w:val="32"/>
          <w:szCs w:val="32"/>
        </w:rPr>
        <w:t>Grade Appeal</w:t>
      </w:r>
    </w:p>
    <w:p w14:paraId="2165C85C" w14:textId="226B3C19" w:rsidR="00224B48" w:rsidRPr="00222811" w:rsidRDefault="00224B48" w:rsidP="00222811">
      <w:pPr>
        <w:pBdr>
          <w:bottom w:val="single" w:sz="12" w:space="1" w:color="auto"/>
        </w:pBdr>
        <w:rPr>
          <w:rFonts w:ascii="Times New Roman" w:eastAsiaTheme="minorHAnsi" w:hAnsi="Times New Roman" w:cs="Times New Roman"/>
          <w:b/>
          <w:bCs/>
          <w:color w:val="0070C0"/>
          <w:sz w:val="32"/>
          <w:szCs w:val="32"/>
        </w:rPr>
      </w:pPr>
      <w:r w:rsidRPr="007C3C12">
        <w:rPr>
          <w:rFonts w:ascii="Times New Roman" w:eastAsiaTheme="minorHAnsi" w:hAnsi="Times New Roman" w:cs="Times New Roman"/>
          <w:b/>
          <w:bCs/>
          <w:color w:val="0070C0"/>
          <w:sz w:val="32"/>
          <w:szCs w:val="32"/>
        </w:rPr>
        <w:t xml:space="preserve">Last Revision/Approval Date: </w:t>
      </w:r>
      <w:r w:rsidR="00D14AA8" w:rsidRPr="007C3C12">
        <w:rPr>
          <w:rFonts w:ascii="Times New Roman" w:eastAsiaTheme="minorHAnsi" w:hAnsi="Times New Roman" w:cs="Times New Roman"/>
          <w:b/>
          <w:bCs/>
          <w:color w:val="0070C0"/>
          <w:sz w:val="32"/>
          <w:szCs w:val="32"/>
        </w:rPr>
        <w:t>12/26</w:t>
      </w:r>
      <w:r w:rsidRPr="007C3C12">
        <w:rPr>
          <w:rFonts w:ascii="Times New Roman" w:eastAsiaTheme="minorHAnsi" w:hAnsi="Times New Roman" w:cs="Times New Roman"/>
          <w:b/>
          <w:bCs/>
          <w:color w:val="0070C0"/>
          <w:sz w:val="32"/>
          <w:szCs w:val="32"/>
        </w:rPr>
        <w:t>/21</w:t>
      </w:r>
    </w:p>
    <w:p w14:paraId="58C42486" w14:textId="7CF35CAD" w:rsidR="003F4ADC" w:rsidRPr="00A05BD6" w:rsidRDefault="003F4ADC" w:rsidP="003F4ADC">
      <w:pPr>
        <w:spacing w:after="0" w:line="360" w:lineRule="auto"/>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t xml:space="preserve">A student grade appeal may be expected to occur on an occasional basis. The philosophy of the College is that such appeals be handled informally if possible. In the cases involving a miscalculation or error in documenting, a Grade Change Form may be completed by the instructor and returned to the Registrar </w:t>
      </w:r>
      <w:r w:rsidR="007C3C12">
        <w:rPr>
          <w:rFonts w:ascii="Times New Roman" w:eastAsia="Verdana" w:hAnsi="Times New Roman" w:cs="Times New Roman"/>
          <w:color w:val="000000" w:themeColor="text1"/>
          <w:sz w:val="24"/>
          <w:szCs w:val="24"/>
        </w:rPr>
        <w:t>before</w:t>
      </w:r>
      <w:r w:rsidRPr="00A05BD6">
        <w:rPr>
          <w:rFonts w:ascii="Times New Roman" w:eastAsia="Verdana" w:hAnsi="Times New Roman" w:cs="Times New Roman"/>
          <w:color w:val="000000" w:themeColor="text1"/>
          <w:sz w:val="24"/>
          <w:szCs w:val="24"/>
        </w:rPr>
        <w:t xml:space="preserve"> the mid-term of the semester following the one in which the grade was assigned. However, </w:t>
      </w:r>
      <w:r w:rsidR="007C3C12">
        <w:rPr>
          <w:rFonts w:ascii="Times New Roman" w:eastAsia="Verdana" w:hAnsi="Times New Roman" w:cs="Times New Roman"/>
          <w:color w:val="000000" w:themeColor="text1"/>
          <w:sz w:val="24"/>
          <w:szCs w:val="24"/>
        </w:rPr>
        <w:t>suppose it is impossible to resolve the matter informally. In that case,</w:t>
      </w:r>
      <w:r w:rsidRPr="00A05BD6">
        <w:rPr>
          <w:rFonts w:ascii="Times New Roman" w:eastAsia="Verdana" w:hAnsi="Times New Roman" w:cs="Times New Roman"/>
          <w:color w:val="000000" w:themeColor="text1"/>
          <w:sz w:val="24"/>
          <w:szCs w:val="24"/>
        </w:rPr>
        <w:t xml:space="preserve"> a grade appeal must be received in writing in the office of the Registrar by the midterm of the semester/term following the date the grade is issued.</w:t>
      </w:r>
    </w:p>
    <w:p w14:paraId="77B9FDDF" w14:textId="2A0F7182" w:rsidR="003F4ADC" w:rsidRPr="00A05BD6" w:rsidRDefault="003F4ADC" w:rsidP="003F4ADC">
      <w:pPr>
        <w:spacing w:after="0" w:line="360" w:lineRule="auto"/>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t xml:space="preserve">All academic concerns relative to a final grade, except academic dishonesty, are subject to the steps outlined below. Please note that issues of plagiarism must be handled via the </w:t>
      </w:r>
      <w:r>
        <w:rPr>
          <w:rFonts w:ascii="Times New Roman" w:eastAsia="Verdana" w:hAnsi="Times New Roman" w:cs="Times New Roman"/>
          <w:color w:val="000000" w:themeColor="text1"/>
          <w:sz w:val="24"/>
          <w:szCs w:val="24"/>
        </w:rPr>
        <w:t>Administrative Council</w:t>
      </w:r>
      <w:r w:rsidRPr="00A05BD6">
        <w:rPr>
          <w:rFonts w:ascii="Times New Roman" w:eastAsia="Verdana" w:hAnsi="Times New Roman" w:cs="Times New Roman"/>
          <w:color w:val="000000" w:themeColor="text1"/>
          <w:sz w:val="24"/>
          <w:szCs w:val="24"/>
        </w:rPr>
        <w:t xml:space="preserve">. Also, all </w:t>
      </w:r>
      <w:r w:rsidR="007C3C12">
        <w:rPr>
          <w:rFonts w:ascii="Times New Roman" w:eastAsia="Verdana" w:hAnsi="Times New Roman" w:cs="Times New Roman"/>
          <w:color w:val="000000" w:themeColor="text1"/>
          <w:sz w:val="24"/>
          <w:szCs w:val="24"/>
        </w:rPr>
        <w:t>plagiarism-related issues</w:t>
      </w:r>
      <w:r w:rsidRPr="00A05BD6">
        <w:rPr>
          <w:rFonts w:ascii="Times New Roman" w:eastAsia="Verdana" w:hAnsi="Times New Roman" w:cs="Times New Roman"/>
          <w:color w:val="000000" w:themeColor="text1"/>
          <w:sz w:val="24"/>
          <w:szCs w:val="24"/>
        </w:rPr>
        <w:t xml:space="preserve"> must be resolved before a grade appeal request can be addressed.</w:t>
      </w:r>
    </w:p>
    <w:p w14:paraId="354D4202" w14:textId="77777777" w:rsidR="003F4ADC" w:rsidRPr="00A05BD6" w:rsidRDefault="003F4ADC" w:rsidP="003F4ADC">
      <w:pPr>
        <w:spacing w:after="0" w:line="360" w:lineRule="auto"/>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t>The following procedure for appealing a grade must be followed in the order listed:</w:t>
      </w:r>
    </w:p>
    <w:p w14:paraId="6FEA1313" w14:textId="77777777" w:rsidR="003F4ADC" w:rsidRPr="00A05BD6" w:rsidRDefault="003F4ADC" w:rsidP="003F4ADC">
      <w:pPr>
        <w:numPr>
          <w:ilvl w:val="0"/>
          <w:numId w:val="1"/>
        </w:numPr>
        <w:spacing w:after="0" w:line="360" w:lineRule="auto"/>
        <w:contextualSpacing/>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t>The student should first contact the instructor to request verification of the grade and how it was calculated.</w:t>
      </w:r>
    </w:p>
    <w:p w14:paraId="01EAC3A1" w14:textId="7ABA3D38" w:rsidR="003F4ADC" w:rsidRPr="00A05BD6" w:rsidRDefault="003F4ADC" w:rsidP="003F4ADC">
      <w:pPr>
        <w:numPr>
          <w:ilvl w:val="0"/>
          <w:numId w:val="1"/>
        </w:numPr>
        <w:spacing w:after="0" w:line="360" w:lineRule="auto"/>
        <w:contextualSpacing/>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t xml:space="preserve">If resolved satisfactorily, the matter will be considered closed. If </w:t>
      </w:r>
      <w:r w:rsidR="007C3C12">
        <w:rPr>
          <w:rFonts w:ascii="Times New Roman" w:eastAsia="Verdana" w:hAnsi="Times New Roman" w:cs="Times New Roman"/>
          <w:color w:val="000000" w:themeColor="text1"/>
          <w:sz w:val="24"/>
          <w:szCs w:val="24"/>
        </w:rPr>
        <w:t>the instructor changes the grade</w:t>
      </w:r>
      <w:r w:rsidRPr="00A05BD6">
        <w:rPr>
          <w:rFonts w:ascii="Times New Roman" w:eastAsia="Verdana" w:hAnsi="Times New Roman" w:cs="Times New Roman"/>
          <w:color w:val="000000" w:themeColor="text1"/>
          <w:sz w:val="24"/>
          <w:szCs w:val="24"/>
        </w:rPr>
        <w:t>, the appropriate procedure for changing grades will be followed.</w:t>
      </w:r>
    </w:p>
    <w:p w14:paraId="265FB78E" w14:textId="24F10607" w:rsidR="003F4ADC" w:rsidRPr="00A05BD6" w:rsidRDefault="003F4ADC" w:rsidP="003F4ADC">
      <w:pPr>
        <w:numPr>
          <w:ilvl w:val="0"/>
          <w:numId w:val="1"/>
        </w:numPr>
        <w:spacing w:after="0" w:line="360" w:lineRule="auto"/>
        <w:contextualSpacing/>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t xml:space="preserve">However, if the student does not </w:t>
      </w:r>
      <w:r w:rsidR="007C3C12">
        <w:rPr>
          <w:rFonts w:ascii="Times New Roman" w:eastAsia="Verdana" w:hAnsi="Times New Roman" w:cs="Times New Roman"/>
          <w:color w:val="000000" w:themeColor="text1"/>
          <w:sz w:val="24"/>
          <w:szCs w:val="24"/>
        </w:rPr>
        <w:t>resolve</w:t>
      </w:r>
      <w:r w:rsidRPr="00A05BD6">
        <w:rPr>
          <w:rFonts w:ascii="Times New Roman" w:eastAsia="Verdana" w:hAnsi="Times New Roman" w:cs="Times New Roman"/>
          <w:color w:val="000000" w:themeColor="text1"/>
          <w:sz w:val="24"/>
          <w:szCs w:val="24"/>
        </w:rPr>
        <w:t xml:space="preserve"> with the instructor, the student should </w:t>
      </w:r>
      <w:r w:rsidR="007C3C12">
        <w:rPr>
          <w:rFonts w:ascii="Times New Roman" w:eastAsia="Verdana" w:hAnsi="Times New Roman" w:cs="Times New Roman"/>
          <w:color w:val="000000" w:themeColor="text1"/>
          <w:sz w:val="24"/>
          <w:szCs w:val="24"/>
        </w:rPr>
        <w:t>formally appeal to the Department Chair</w:t>
      </w:r>
      <w:r w:rsidRPr="00A05BD6">
        <w:rPr>
          <w:rFonts w:ascii="Times New Roman" w:eastAsia="Verdana" w:hAnsi="Times New Roman" w:cs="Times New Roman"/>
          <w:color w:val="000000" w:themeColor="text1"/>
          <w:sz w:val="24"/>
          <w:szCs w:val="24"/>
        </w:rPr>
        <w:t xml:space="preserve">. The </w:t>
      </w:r>
      <w:r>
        <w:rPr>
          <w:rFonts w:ascii="Times New Roman" w:eastAsia="Verdana" w:hAnsi="Times New Roman" w:cs="Times New Roman"/>
          <w:color w:val="000000" w:themeColor="text1"/>
          <w:sz w:val="24"/>
          <w:szCs w:val="24"/>
        </w:rPr>
        <w:t xml:space="preserve">Department </w:t>
      </w:r>
      <w:r w:rsidRPr="00A05BD6">
        <w:rPr>
          <w:rFonts w:ascii="Times New Roman" w:eastAsia="Verdana" w:hAnsi="Times New Roman" w:cs="Times New Roman"/>
          <w:color w:val="000000" w:themeColor="text1"/>
          <w:sz w:val="24"/>
          <w:szCs w:val="24"/>
        </w:rPr>
        <w:t xml:space="preserve">Chair will confer with the student and the faculty member, independently or jointly, to reach closure. A copy of a grade appeal form must also be filed with the </w:t>
      </w:r>
      <w:r>
        <w:rPr>
          <w:rFonts w:ascii="Times New Roman" w:eastAsia="Verdana" w:hAnsi="Times New Roman" w:cs="Times New Roman"/>
          <w:color w:val="000000" w:themeColor="text1"/>
          <w:sz w:val="24"/>
          <w:szCs w:val="24"/>
        </w:rPr>
        <w:t>Director of Enrollment and Student Life</w:t>
      </w:r>
      <w:r w:rsidRPr="00A05BD6">
        <w:rPr>
          <w:rFonts w:ascii="Times New Roman" w:eastAsia="Verdana" w:hAnsi="Times New Roman" w:cs="Times New Roman"/>
          <w:color w:val="000000" w:themeColor="text1"/>
          <w:sz w:val="24"/>
          <w:szCs w:val="24"/>
        </w:rPr>
        <w:t>.</w:t>
      </w:r>
    </w:p>
    <w:p w14:paraId="411181AE" w14:textId="77777777" w:rsidR="003F4ADC" w:rsidRPr="00A05BD6" w:rsidRDefault="003F4ADC" w:rsidP="003F4ADC">
      <w:pPr>
        <w:numPr>
          <w:ilvl w:val="0"/>
          <w:numId w:val="1"/>
        </w:numPr>
        <w:spacing w:after="0" w:line="360" w:lineRule="auto"/>
        <w:contextualSpacing/>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lastRenderedPageBreak/>
        <w:t xml:space="preserve">If closure is not reached at this level, an </w:t>
      </w:r>
      <w:r>
        <w:rPr>
          <w:rFonts w:ascii="Times New Roman" w:eastAsia="Verdana" w:hAnsi="Times New Roman" w:cs="Times New Roman"/>
          <w:color w:val="000000" w:themeColor="text1"/>
          <w:sz w:val="24"/>
          <w:szCs w:val="24"/>
        </w:rPr>
        <w:t>Administrative Council</w:t>
      </w:r>
      <w:r w:rsidRPr="00A05BD6">
        <w:rPr>
          <w:rFonts w:ascii="Times New Roman" w:eastAsia="Verdana" w:hAnsi="Times New Roman" w:cs="Times New Roman"/>
          <w:color w:val="000000" w:themeColor="text1"/>
          <w:sz w:val="24"/>
          <w:szCs w:val="24"/>
        </w:rPr>
        <w:t xml:space="preserve"> will review the circumstances presented. The written appeal must state the name of the course, the reasons for the request, the dates involved, the name of the instructor who assigned the grade, and previous attempts at resolving the situation.</w:t>
      </w:r>
    </w:p>
    <w:p w14:paraId="57A8B871" w14:textId="3D95552A" w:rsidR="003F4ADC" w:rsidRPr="00A05BD6" w:rsidRDefault="003F4ADC" w:rsidP="003F4ADC">
      <w:pPr>
        <w:numPr>
          <w:ilvl w:val="0"/>
          <w:numId w:val="1"/>
        </w:numPr>
        <w:spacing w:after="0" w:line="360" w:lineRule="auto"/>
        <w:contextualSpacing/>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t xml:space="preserve">The </w:t>
      </w:r>
      <w:r>
        <w:rPr>
          <w:rFonts w:ascii="Times New Roman" w:eastAsia="Verdana" w:hAnsi="Times New Roman" w:cs="Times New Roman"/>
          <w:color w:val="000000" w:themeColor="text1"/>
          <w:sz w:val="24"/>
          <w:szCs w:val="24"/>
        </w:rPr>
        <w:t>Chief Academic Officer</w:t>
      </w:r>
      <w:r w:rsidRPr="00A05BD6">
        <w:rPr>
          <w:rFonts w:ascii="Times New Roman" w:eastAsia="Verdana" w:hAnsi="Times New Roman" w:cs="Times New Roman"/>
          <w:color w:val="000000" w:themeColor="text1"/>
          <w:sz w:val="24"/>
          <w:szCs w:val="24"/>
        </w:rPr>
        <w:t xml:space="preserve"> will forward copies of the student’s request letter</w:t>
      </w:r>
      <w:r w:rsidR="007C3C12">
        <w:rPr>
          <w:rFonts w:ascii="Times New Roman" w:eastAsia="Verdana" w:hAnsi="Times New Roman" w:cs="Times New Roman"/>
          <w:color w:val="000000" w:themeColor="text1"/>
          <w:sz w:val="24"/>
          <w:szCs w:val="24"/>
        </w:rPr>
        <w:t>, the instructor’s and Department Chair’s grade appeal response form,</w:t>
      </w:r>
      <w:r w:rsidRPr="00A05BD6">
        <w:rPr>
          <w:rFonts w:ascii="Times New Roman" w:eastAsia="Verdana" w:hAnsi="Times New Roman" w:cs="Times New Roman"/>
          <w:color w:val="000000" w:themeColor="text1"/>
          <w:sz w:val="24"/>
          <w:szCs w:val="24"/>
        </w:rPr>
        <w:t xml:space="preserve"> and any supporting documentation from the student and the instructor to the </w:t>
      </w:r>
      <w:r>
        <w:rPr>
          <w:rFonts w:ascii="Times New Roman" w:eastAsia="Verdana" w:hAnsi="Times New Roman" w:cs="Times New Roman"/>
          <w:color w:val="000000" w:themeColor="text1"/>
          <w:sz w:val="24"/>
          <w:szCs w:val="24"/>
        </w:rPr>
        <w:t>Administrative Council</w:t>
      </w:r>
      <w:r w:rsidRPr="00A05BD6">
        <w:rPr>
          <w:rFonts w:ascii="Times New Roman" w:eastAsia="Verdana" w:hAnsi="Times New Roman" w:cs="Times New Roman"/>
          <w:color w:val="000000" w:themeColor="text1"/>
          <w:sz w:val="24"/>
          <w:szCs w:val="24"/>
        </w:rPr>
        <w:t xml:space="preserve"> for a hearing. Members of the </w:t>
      </w:r>
      <w:r>
        <w:rPr>
          <w:rFonts w:ascii="Times New Roman" w:eastAsia="Verdana" w:hAnsi="Times New Roman" w:cs="Times New Roman"/>
          <w:color w:val="000000" w:themeColor="text1"/>
          <w:sz w:val="24"/>
          <w:szCs w:val="24"/>
        </w:rPr>
        <w:t>Administrative Council</w:t>
      </w:r>
      <w:r w:rsidRPr="00A05BD6">
        <w:rPr>
          <w:rFonts w:ascii="Times New Roman" w:eastAsia="Verdana" w:hAnsi="Times New Roman" w:cs="Times New Roman"/>
          <w:color w:val="000000" w:themeColor="text1"/>
          <w:sz w:val="24"/>
          <w:szCs w:val="24"/>
        </w:rPr>
        <w:t xml:space="preserve"> will sit as the investigative body. If the </w:t>
      </w:r>
      <w:r>
        <w:rPr>
          <w:rFonts w:ascii="Times New Roman" w:eastAsia="Verdana" w:hAnsi="Times New Roman" w:cs="Times New Roman"/>
          <w:color w:val="000000" w:themeColor="text1"/>
          <w:sz w:val="24"/>
          <w:szCs w:val="24"/>
        </w:rPr>
        <w:t>Council</w:t>
      </w:r>
      <w:r w:rsidRPr="00A05BD6">
        <w:rPr>
          <w:rFonts w:ascii="Times New Roman" w:eastAsia="Verdana" w:hAnsi="Times New Roman" w:cs="Times New Roman"/>
          <w:color w:val="000000" w:themeColor="text1"/>
          <w:sz w:val="24"/>
          <w:szCs w:val="24"/>
        </w:rPr>
        <w:t xml:space="preserve"> requests additional information for the hearing, the </w:t>
      </w:r>
      <w:r>
        <w:rPr>
          <w:rFonts w:ascii="Times New Roman" w:eastAsia="Verdana" w:hAnsi="Times New Roman" w:cs="Times New Roman"/>
          <w:color w:val="000000" w:themeColor="text1"/>
          <w:sz w:val="24"/>
          <w:szCs w:val="24"/>
        </w:rPr>
        <w:t xml:space="preserve">Chief Academic Officer </w:t>
      </w:r>
      <w:r w:rsidRPr="00A05BD6">
        <w:rPr>
          <w:rFonts w:ascii="Times New Roman" w:eastAsia="Verdana" w:hAnsi="Times New Roman" w:cs="Times New Roman"/>
          <w:color w:val="000000" w:themeColor="text1"/>
          <w:sz w:val="24"/>
          <w:szCs w:val="24"/>
        </w:rPr>
        <w:t xml:space="preserve">will coordinate the </w:t>
      </w:r>
      <w:r w:rsidR="007C3C12">
        <w:rPr>
          <w:rFonts w:ascii="Times New Roman" w:eastAsia="Verdana" w:hAnsi="Times New Roman" w:cs="Times New Roman"/>
          <w:color w:val="000000" w:themeColor="text1"/>
          <w:sz w:val="24"/>
          <w:szCs w:val="24"/>
        </w:rPr>
        <w:t>information collection</w:t>
      </w:r>
      <w:r w:rsidRPr="00A05BD6">
        <w:rPr>
          <w:rFonts w:ascii="Times New Roman" w:eastAsia="Verdana" w:hAnsi="Times New Roman" w:cs="Times New Roman"/>
          <w:color w:val="000000" w:themeColor="text1"/>
          <w:sz w:val="24"/>
          <w:szCs w:val="24"/>
        </w:rPr>
        <w:t xml:space="preserve">. After the hearing, a final decision will be made. </w:t>
      </w:r>
      <w:r w:rsidR="007C3C12">
        <w:rPr>
          <w:rFonts w:ascii="Times New Roman" w:eastAsia="Verdana" w:hAnsi="Times New Roman" w:cs="Times New Roman"/>
          <w:color w:val="000000" w:themeColor="text1"/>
          <w:sz w:val="24"/>
          <w:szCs w:val="24"/>
        </w:rPr>
        <w:t>Suppose the Council decides a grade change is appropriate. In that case,</w:t>
      </w:r>
      <w:r w:rsidRPr="00A05BD6">
        <w:rPr>
          <w:rFonts w:ascii="Times New Roman" w:eastAsia="Verdana" w:hAnsi="Times New Roman" w:cs="Times New Roman"/>
          <w:color w:val="000000" w:themeColor="text1"/>
          <w:sz w:val="24"/>
          <w:szCs w:val="24"/>
        </w:rPr>
        <w:t xml:space="preserve"> that will be requested by written notification to the </w:t>
      </w:r>
      <w:r>
        <w:rPr>
          <w:rFonts w:ascii="Times New Roman" w:eastAsia="Verdana" w:hAnsi="Times New Roman" w:cs="Times New Roman"/>
          <w:color w:val="000000" w:themeColor="text1"/>
          <w:sz w:val="24"/>
          <w:szCs w:val="24"/>
        </w:rPr>
        <w:t>Director of Enrollment and Student Life</w:t>
      </w:r>
      <w:r w:rsidRPr="00A05BD6">
        <w:rPr>
          <w:rFonts w:ascii="Times New Roman" w:eastAsia="Verdana" w:hAnsi="Times New Roman" w:cs="Times New Roman"/>
          <w:color w:val="000000" w:themeColor="text1"/>
          <w:sz w:val="24"/>
          <w:szCs w:val="24"/>
        </w:rPr>
        <w:t xml:space="preserve"> and the grade will be changed effective immediately. However, if the Committee decides that the grade will stand, the student will be notified in writing of that decision.</w:t>
      </w:r>
    </w:p>
    <w:p w14:paraId="7EB8A4C8" w14:textId="77777777" w:rsidR="003F4ADC" w:rsidRDefault="003F4ADC" w:rsidP="003F4ADC">
      <w:pPr>
        <w:numPr>
          <w:ilvl w:val="0"/>
          <w:numId w:val="1"/>
        </w:numPr>
        <w:spacing w:after="0" w:line="360" w:lineRule="auto"/>
        <w:contextualSpacing/>
        <w:rPr>
          <w:rFonts w:ascii="Times New Roman" w:eastAsia="Verdana" w:hAnsi="Times New Roman" w:cs="Times New Roman"/>
          <w:color w:val="000000" w:themeColor="text1"/>
          <w:sz w:val="24"/>
          <w:szCs w:val="24"/>
        </w:rPr>
      </w:pPr>
      <w:r w:rsidRPr="00A05BD6">
        <w:rPr>
          <w:rFonts w:ascii="Times New Roman" w:eastAsia="Verdana" w:hAnsi="Times New Roman" w:cs="Times New Roman"/>
          <w:color w:val="000000" w:themeColor="text1"/>
          <w:sz w:val="24"/>
          <w:szCs w:val="24"/>
        </w:rPr>
        <w:t xml:space="preserve">The decision of the </w:t>
      </w:r>
      <w:r>
        <w:rPr>
          <w:rFonts w:ascii="Times New Roman" w:eastAsia="Verdana" w:hAnsi="Times New Roman" w:cs="Times New Roman"/>
          <w:color w:val="000000" w:themeColor="text1"/>
          <w:sz w:val="24"/>
          <w:szCs w:val="24"/>
        </w:rPr>
        <w:t>Administrative Council</w:t>
      </w:r>
      <w:r w:rsidRPr="00A05BD6">
        <w:rPr>
          <w:rFonts w:ascii="Times New Roman" w:eastAsia="Verdana" w:hAnsi="Times New Roman" w:cs="Times New Roman"/>
          <w:color w:val="000000" w:themeColor="text1"/>
          <w:sz w:val="24"/>
          <w:szCs w:val="24"/>
        </w:rPr>
        <w:t xml:space="preserve"> is final and may not be appealed.</w:t>
      </w:r>
    </w:p>
    <w:p w14:paraId="0C9695C7" w14:textId="77777777" w:rsidR="003F4ADC" w:rsidRDefault="003F4ADC" w:rsidP="003F4ADC">
      <w:pPr>
        <w:spacing w:after="0" w:line="360" w:lineRule="auto"/>
        <w:contextualSpacing/>
        <w:rPr>
          <w:rFonts w:ascii="Times New Roman" w:eastAsia="Verdana" w:hAnsi="Times New Roman" w:cs="Times New Roman"/>
          <w:color w:val="000000" w:themeColor="text1"/>
          <w:sz w:val="24"/>
          <w:szCs w:val="24"/>
        </w:rPr>
      </w:pPr>
    </w:p>
    <w:p w14:paraId="07FCB65C" w14:textId="77777777" w:rsidR="005D1C8E" w:rsidRDefault="005D1C8E"/>
    <w:sectPr w:rsidR="005D1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73F2"/>
    <w:multiLevelType w:val="multilevel"/>
    <w:tmpl w:val="9F1A5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DC"/>
    <w:rsid w:val="00222811"/>
    <w:rsid w:val="00224B48"/>
    <w:rsid w:val="003F40BA"/>
    <w:rsid w:val="003F4ADC"/>
    <w:rsid w:val="005D1C8E"/>
    <w:rsid w:val="007C3C12"/>
    <w:rsid w:val="00B672E9"/>
    <w:rsid w:val="00D14AA8"/>
    <w:rsid w:val="00E21F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0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DC"/>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3F4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ADC"/>
    <w:rPr>
      <w:rFonts w:asciiTheme="majorHAnsi" w:eastAsiaTheme="majorEastAsia" w:hAnsiTheme="majorHAnsi" w:cstheme="majorBidi"/>
      <w:b/>
      <w:bCs/>
      <w:color w:val="365F91" w:themeColor="accent1" w:themeShade="BF"/>
    </w:rPr>
  </w:style>
  <w:style w:type="paragraph" w:styleId="BalloonText">
    <w:name w:val="Balloon Text"/>
    <w:basedOn w:val="Normal"/>
    <w:link w:val="BalloonTextChar"/>
    <w:uiPriority w:val="99"/>
    <w:semiHidden/>
    <w:unhideWhenUsed/>
    <w:rsid w:val="00224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4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DC"/>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3F4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ADC"/>
    <w:rPr>
      <w:rFonts w:asciiTheme="majorHAnsi" w:eastAsiaTheme="majorEastAsia" w:hAnsiTheme="majorHAnsi" w:cstheme="majorBidi"/>
      <w:b/>
      <w:bCs/>
      <w:color w:val="365F91" w:themeColor="accent1" w:themeShade="BF"/>
    </w:rPr>
  </w:style>
  <w:style w:type="paragraph" w:styleId="BalloonText">
    <w:name w:val="Balloon Text"/>
    <w:basedOn w:val="Normal"/>
    <w:link w:val="BalloonTextChar"/>
    <w:uiPriority w:val="99"/>
    <w:semiHidden/>
    <w:unhideWhenUsed/>
    <w:rsid w:val="00224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4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2509</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vt:lpstr>
      <vt:lpstr/>
      <vt:lpstr/>
    </vt:vector>
  </TitlesOfParts>
  <Company>Microsoft</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LW5</cp:lastModifiedBy>
  <cp:revision>7</cp:revision>
  <dcterms:created xsi:type="dcterms:W3CDTF">2021-10-26T17:23:00Z</dcterms:created>
  <dcterms:modified xsi:type="dcterms:W3CDTF">2025-07-22T17:55:00Z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ea65d6ff8c99832a5de85f21cda8d48802b7cc0769ec7b62ab8d16a636adab4d</vt:lpwstr>
  </property>
</Properties>
</file>