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0EF" w14:textId="77777777" w:rsidR="00E40668" w:rsidRPr="00E40668" w:rsidRDefault="00E40668" w:rsidP="00E40668">
      <w:pPr>
        <w:widowControl/>
        <w:autoSpaceDE/>
        <w:autoSpaceDN/>
        <w:spacing w:after="200" w:line="276" w:lineRule="auto"/>
        <w:jc w:val="right"/>
        <w:rPr>
          <w:rFonts w:asciiTheme="minorHAnsi" w:eastAsiaTheme="minorHAnsi" w:hAnsiTheme="minorHAnsi" w:cstheme="minorBidi"/>
          <w:color w:val="0070C0"/>
          <w:sz w:val="40"/>
          <w:szCs w:val="40"/>
        </w:rPr>
      </w:pPr>
      <w:r w:rsidRPr="00E40668">
        <w:rPr>
          <w:rFonts w:asciiTheme="minorHAnsi" w:eastAsiaTheme="minorHAnsi" w:hAnsiTheme="minorHAnsi" w:cstheme="minorBidi"/>
          <w:noProof/>
          <w:color w:val="0070C0"/>
          <w:sz w:val="40"/>
          <w:szCs w:val="40"/>
        </w:rPr>
        <w:drawing>
          <wp:inline distT="0" distB="0" distL="0" distR="0" wp14:anchorId="4FBEE1B6" wp14:editId="68E5E50C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77C8A" w14:textId="3E2868A8" w:rsidR="00E40668" w:rsidRPr="00B04FAE" w:rsidRDefault="00410FA6" w:rsidP="00E40668">
      <w:pPr>
        <w:widowControl/>
        <w:autoSpaceDE/>
        <w:autoSpaceDN/>
        <w:spacing w:after="200" w:line="276" w:lineRule="auto"/>
        <w:rPr>
          <w:rFonts w:ascii="Times New Roman" w:eastAsiaTheme="minorHAnsi" w:hAnsi="Times New Roman" w:cs="Times New Roman"/>
          <w:color w:val="0070C0"/>
          <w:sz w:val="32"/>
          <w:szCs w:val="32"/>
        </w:rPr>
      </w:pPr>
      <w:r>
        <w:rPr>
          <w:rFonts w:ascii="Times New Roman" w:eastAsiaTheme="minorHAnsi" w:hAnsi="Times New Roman" w:cs="Times New Roman"/>
          <w:color w:val="0070C0"/>
          <w:sz w:val="32"/>
          <w:szCs w:val="32"/>
        </w:rPr>
        <w:t>KC 400.6</w:t>
      </w:r>
    </w:p>
    <w:p w14:paraId="35417A33" w14:textId="76BBE60A" w:rsidR="00E40668" w:rsidRPr="00B04FAE" w:rsidRDefault="00E40668" w:rsidP="00E40668">
      <w:pPr>
        <w:widowControl/>
        <w:autoSpaceDE/>
        <w:autoSpaceDN/>
        <w:spacing w:after="200" w:line="276" w:lineRule="auto"/>
        <w:rPr>
          <w:rFonts w:ascii="Times New Roman" w:eastAsiaTheme="minorHAnsi" w:hAnsi="Times New Roman" w:cs="Times New Roman"/>
          <w:color w:val="0070C0"/>
          <w:sz w:val="32"/>
          <w:szCs w:val="32"/>
        </w:rPr>
      </w:pPr>
      <w:r w:rsidRPr="00B04FAE">
        <w:rPr>
          <w:rFonts w:ascii="Times New Roman" w:eastAsiaTheme="minorHAnsi" w:hAnsi="Times New Roman" w:cs="Times New Roman"/>
          <w:color w:val="0070C0"/>
          <w:sz w:val="32"/>
          <w:szCs w:val="32"/>
        </w:rPr>
        <w:t xml:space="preserve">Financial Responsibilities/Reporting Policy </w:t>
      </w:r>
    </w:p>
    <w:p w14:paraId="2BF9B59E" w14:textId="118AF182" w:rsidR="00E40668" w:rsidRPr="00B04FAE" w:rsidRDefault="00E40668" w:rsidP="00B04FAE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color w:val="0070C0"/>
          <w:sz w:val="32"/>
          <w:szCs w:val="32"/>
        </w:rPr>
      </w:pPr>
      <w:r w:rsidRPr="00B04FAE">
        <w:rPr>
          <w:rFonts w:ascii="Times New Roman" w:eastAsiaTheme="minorHAnsi" w:hAnsi="Times New Roman" w:cs="Times New Roman"/>
          <w:color w:val="0070C0"/>
          <w:sz w:val="32"/>
          <w:szCs w:val="32"/>
        </w:rPr>
        <w:t xml:space="preserve">Last Revision/Approval Date: </w:t>
      </w:r>
      <w:r w:rsidR="004B6B32">
        <w:rPr>
          <w:rFonts w:ascii="Times New Roman" w:eastAsiaTheme="minorHAnsi" w:hAnsi="Times New Roman" w:cs="Times New Roman"/>
          <w:color w:val="0070C0"/>
          <w:sz w:val="32"/>
          <w:szCs w:val="32"/>
        </w:rPr>
        <w:t>11/20/2025</w:t>
      </w:r>
    </w:p>
    <w:p w14:paraId="25B945FE" w14:textId="77777777" w:rsidR="00E40668" w:rsidRPr="00B04FAE" w:rsidRDefault="00E40668" w:rsidP="00E40668">
      <w:pPr>
        <w:widowControl/>
        <w:autoSpaceDE/>
        <w:autoSpaceDN/>
        <w:spacing w:after="200" w:line="276" w:lineRule="auto"/>
        <w:rPr>
          <w:rFonts w:ascii="Times New Roman" w:eastAsiaTheme="minorHAnsi" w:hAnsi="Times New Roman" w:cs="Times New Roman"/>
          <w:color w:val="000000" w:themeColor="text1"/>
          <w:sz w:val="32"/>
          <w:szCs w:val="32"/>
        </w:rPr>
      </w:pPr>
      <w:r w:rsidRPr="00B04FAE">
        <w:rPr>
          <w:rFonts w:ascii="Times New Roman" w:eastAsiaTheme="minorHAnsi" w:hAnsi="Times New Roman" w:cs="Times New Roman"/>
          <w:color w:val="000000" w:themeColor="text1"/>
          <w:sz w:val="32"/>
          <w:szCs w:val="32"/>
        </w:rPr>
        <w:t>__________________________________</w:t>
      </w:r>
    </w:p>
    <w:p w14:paraId="49A31342" w14:textId="5F5B6AC8" w:rsidR="00B2638E" w:rsidRPr="006B3095" w:rsidRDefault="00E40668" w:rsidP="00E40668">
      <w:pPr>
        <w:pStyle w:val="BodyText"/>
        <w:spacing w:line="338" w:lineRule="auto"/>
        <w:ind w:right="543"/>
        <w:rPr>
          <w:rFonts w:asciiTheme="majorBidi" w:hAnsiTheme="majorBidi" w:cstheme="majorBidi"/>
          <w:sz w:val="24"/>
          <w:szCs w:val="24"/>
        </w:rPr>
      </w:pPr>
      <w:r w:rsidRPr="006B3095">
        <w:rPr>
          <w:rFonts w:asciiTheme="majorBidi" w:hAnsiTheme="majorBidi" w:cstheme="majorBidi"/>
          <w:w w:val="105"/>
          <w:sz w:val="24"/>
          <w:szCs w:val="24"/>
        </w:rPr>
        <w:t>F</w:t>
      </w:r>
      <w:r w:rsidR="00B2638E" w:rsidRPr="006B3095">
        <w:rPr>
          <w:rFonts w:asciiTheme="majorBidi" w:hAnsiTheme="majorBidi" w:cstheme="majorBidi"/>
          <w:w w:val="105"/>
          <w:sz w:val="24"/>
          <w:szCs w:val="24"/>
        </w:rPr>
        <w:t xml:space="preserve">inancial Responsibilities: It is the responsibility of the Board of Directors to formulate financial policies and review operations and activities </w:t>
      </w:r>
      <w:r w:rsidR="00B04FAE">
        <w:rPr>
          <w:rFonts w:asciiTheme="majorBidi" w:hAnsiTheme="majorBidi" w:cstheme="majorBidi"/>
          <w:w w:val="105"/>
          <w:sz w:val="24"/>
          <w:szCs w:val="24"/>
        </w:rPr>
        <w:t>periodically</w:t>
      </w:r>
      <w:r w:rsidR="00B2638E" w:rsidRPr="006B3095">
        <w:rPr>
          <w:rFonts w:asciiTheme="majorBidi" w:hAnsiTheme="majorBidi" w:cstheme="majorBidi"/>
          <w:w w:val="105"/>
          <w:sz w:val="24"/>
          <w:szCs w:val="24"/>
        </w:rPr>
        <w:t>.</w:t>
      </w:r>
    </w:p>
    <w:p w14:paraId="1026AF75" w14:textId="77777777" w:rsidR="00B2638E" w:rsidRPr="006B3095" w:rsidRDefault="00B2638E" w:rsidP="00B2638E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</w:p>
    <w:p w14:paraId="3725E53C" w14:textId="1D6ACBE4" w:rsidR="00B2638E" w:rsidRPr="006B3095" w:rsidRDefault="00B2638E" w:rsidP="00E40668">
      <w:pPr>
        <w:pStyle w:val="BodyText"/>
        <w:spacing w:line="338" w:lineRule="auto"/>
        <w:ind w:right="543"/>
        <w:rPr>
          <w:rFonts w:asciiTheme="majorBidi" w:hAnsiTheme="majorBidi" w:cstheme="majorBidi"/>
          <w:sz w:val="24"/>
          <w:szCs w:val="24"/>
        </w:rPr>
      </w:pPr>
      <w:r w:rsidRPr="006B3095">
        <w:rPr>
          <w:rFonts w:asciiTheme="majorBidi" w:hAnsiTheme="majorBidi" w:cstheme="majorBidi"/>
          <w:w w:val="105"/>
          <w:sz w:val="24"/>
          <w:szCs w:val="24"/>
        </w:rPr>
        <w:t>The Board delegates this oversight responsibility to the Treasurer of the Board. The responsibility is shared through delegation with the President and the CFO.</w:t>
      </w:r>
    </w:p>
    <w:p w14:paraId="43D7FE72" w14:textId="77777777" w:rsidR="00B2638E" w:rsidRPr="006B3095" w:rsidRDefault="00B2638E" w:rsidP="00B2638E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</w:p>
    <w:p w14:paraId="50493879" w14:textId="3DDB74AB" w:rsidR="00B2638E" w:rsidRPr="006B3095" w:rsidRDefault="00E40668" w:rsidP="00E40668">
      <w:pPr>
        <w:pStyle w:val="BodyText"/>
        <w:spacing w:line="338" w:lineRule="auto"/>
        <w:ind w:right="497"/>
        <w:rPr>
          <w:rFonts w:asciiTheme="majorBidi" w:hAnsiTheme="majorBidi" w:cstheme="majorBidi"/>
          <w:sz w:val="24"/>
          <w:szCs w:val="24"/>
        </w:rPr>
      </w:pPr>
      <w:r w:rsidRPr="006B3095">
        <w:rPr>
          <w:rFonts w:asciiTheme="majorBidi" w:hAnsiTheme="majorBidi" w:cstheme="majorBidi"/>
          <w:w w:val="105"/>
          <w:sz w:val="24"/>
          <w:szCs w:val="24"/>
        </w:rPr>
        <w:t>T</w:t>
      </w:r>
      <w:r w:rsidR="00B2638E" w:rsidRPr="006B3095">
        <w:rPr>
          <w:rFonts w:asciiTheme="majorBidi" w:hAnsiTheme="majorBidi" w:cstheme="majorBidi"/>
          <w:w w:val="105"/>
          <w:sz w:val="24"/>
          <w:szCs w:val="24"/>
        </w:rPr>
        <w:t>he CFO acts as the primary fiscal agent, implementing all financial policies and procedures and</w:t>
      </w:r>
      <w:r w:rsidR="004B6B32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="00B2638E" w:rsidRPr="006B3095">
        <w:rPr>
          <w:rFonts w:asciiTheme="majorBidi" w:hAnsiTheme="majorBidi" w:cstheme="majorBidi"/>
          <w:w w:val="105"/>
          <w:sz w:val="24"/>
          <w:szCs w:val="24"/>
        </w:rPr>
        <w:t xml:space="preserve">is responsible for the </w:t>
      </w:r>
      <w:r w:rsidR="006B3095" w:rsidRPr="006B3095">
        <w:rPr>
          <w:rFonts w:asciiTheme="majorBidi" w:hAnsiTheme="majorBidi" w:cstheme="majorBidi"/>
          <w:w w:val="105"/>
          <w:sz w:val="24"/>
          <w:szCs w:val="24"/>
        </w:rPr>
        <w:t>c</w:t>
      </w:r>
      <w:r w:rsidR="00B2638E" w:rsidRPr="006B3095">
        <w:rPr>
          <w:rFonts w:asciiTheme="majorBidi" w:hAnsiTheme="majorBidi" w:cstheme="majorBidi"/>
          <w:w w:val="105"/>
          <w:sz w:val="24"/>
          <w:szCs w:val="24"/>
        </w:rPr>
        <w:t xml:space="preserve">oordination of the following: </w:t>
      </w:r>
      <w:r w:rsidR="006B3095" w:rsidRPr="006B3095">
        <w:rPr>
          <w:rFonts w:asciiTheme="majorBidi" w:hAnsiTheme="majorBidi" w:cstheme="majorBidi"/>
          <w:w w:val="105"/>
          <w:sz w:val="24"/>
          <w:szCs w:val="24"/>
        </w:rPr>
        <w:t>annual</w:t>
      </w:r>
      <w:r w:rsidR="00B2638E" w:rsidRPr="006B3095">
        <w:rPr>
          <w:rFonts w:asciiTheme="majorBidi" w:hAnsiTheme="majorBidi" w:cstheme="majorBidi"/>
          <w:w w:val="105"/>
          <w:sz w:val="24"/>
          <w:szCs w:val="24"/>
        </w:rPr>
        <w:t xml:space="preserve"> budget presentation, management of any future Endowments and other fund investments, selection of the outside auditors, and approving revenue and expenditure objectives in accordance with the Board approved long-term plans.</w:t>
      </w:r>
    </w:p>
    <w:p w14:paraId="24086ABA" w14:textId="77777777" w:rsidR="00B2638E" w:rsidRPr="006B3095" w:rsidRDefault="00B2638E" w:rsidP="00B2638E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14:paraId="71F32334" w14:textId="346D907F" w:rsidR="00B2638E" w:rsidRPr="006B3095" w:rsidRDefault="00B2638E" w:rsidP="00E40668">
      <w:pPr>
        <w:pStyle w:val="BodyText"/>
        <w:spacing w:line="338" w:lineRule="auto"/>
        <w:ind w:right="543"/>
        <w:rPr>
          <w:rFonts w:asciiTheme="majorBidi" w:hAnsiTheme="majorBidi" w:cstheme="majorBidi"/>
          <w:sz w:val="24"/>
          <w:szCs w:val="24"/>
        </w:rPr>
      </w:pPr>
      <w:r w:rsidRPr="006B3095">
        <w:rPr>
          <w:rFonts w:asciiTheme="majorBidi" w:hAnsiTheme="majorBidi" w:cstheme="majorBidi"/>
          <w:w w:val="110"/>
          <w:sz w:val="24"/>
          <w:szCs w:val="24"/>
        </w:rPr>
        <w:t>The</w:t>
      </w:r>
      <w:r w:rsidRPr="006B3095">
        <w:rPr>
          <w:rFonts w:asciiTheme="majorBidi" w:hAnsiTheme="majorBidi" w:cstheme="majorBidi"/>
          <w:spacing w:val="-22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CFO</w:t>
      </w:r>
      <w:r w:rsidRPr="006B3095">
        <w:rPr>
          <w:rFonts w:asciiTheme="majorBidi" w:hAnsiTheme="majorBidi" w:cstheme="majorBidi"/>
          <w:spacing w:val="-20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has</w:t>
      </w:r>
      <w:r w:rsidRPr="006B3095">
        <w:rPr>
          <w:rFonts w:asciiTheme="majorBidi" w:hAnsiTheme="majorBidi" w:cstheme="majorBidi"/>
          <w:spacing w:val="-25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the</w:t>
      </w:r>
      <w:r w:rsidRPr="006B3095">
        <w:rPr>
          <w:rFonts w:asciiTheme="majorBidi" w:hAnsiTheme="majorBidi" w:cstheme="majorBidi"/>
          <w:spacing w:val="-2"/>
          <w:w w:val="110"/>
          <w:sz w:val="24"/>
          <w:szCs w:val="24"/>
        </w:rPr>
        <w:t xml:space="preserve"> </w:t>
      </w:r>
      <w:r w:rsidR="00B04FAE">
        <w:rPr>
          <w:rFonts w:asciiTheme="majorBidi" w:hAnsiTheme="majorBidi" w:cstheme="majorBidi"/>
          <w:w w:val="110"/>
          <w:sz w:val="24"/>
          <w:szCs w:val="24"/>
        </w:rPr>
        <w:t xml:space="preserve">day-to-day operations responsibility for managing funds, ensuring the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accuracy</w:t>
      </w:r>
      <w:r w:rsidRPr="006B3095">
        <w:rPr>
          <w:rFonts w:asciiTheme="majorBidi" w:hAnsiTheme="majorBidi" w:cstheme="majorBidi"/>
          <w:spacing w:val="-19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of</w:t>
      </w:r>
      <w:r w:rsidRPr="006B3095">
        <w:rPr>
          <w:rFonts w:asciiTheme="majorBidi" w:hAnsiTheme="majorBidi" w:cstheme="majorBidi"/>
          <w:spacing w:val="-26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the accounting</w:t>
      </w:r>
      <w:r w:rsidRPr="006B3095">
        <w:rPr>
          <w:rFonts w:asciiTheme="majorBidi" w:hAnsiTheme="majorBidi" w:cstheme="majorBidi"/>
          <w:spacing w:val="-28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records,</w:t>
      </w:r>
      <w:r w:rsidRPr="006B3095">
        <w:rPr>
          <w:rFonts w:asciiTheme="majorBidi" w:hAnsiTheme="majorBidi" w:cstheme="majorBidi"/>
          <w:spacing w:val="-29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internal</w:t>
      </w:r>
      <w:r w:rsidRPr="006B3095">
        <w:rPr>
          <w:rFonts w:asciiTheme="majorBidi" w:hAnsiTheme="majorBidi" w:cstheme="majorBidi"/>
          <w:spacing w:val="-31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controls,</w:t>
      </w:r>
      <w:r w:rsidRPr="006B3095">
        <w:rPr>
          <w:rFonts w:asciiTheme="majorBidi" w:hAnsiTheme="majorBidi" w:cstheme="majorBidi"/>
          <w:spacing w:val="-29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financial</w:t>
      </w:r>
      <w:r w:rsidRPr="006B3095">
        <w:rPr>
          <w:rFonts w:asciiTheme="majorBidi" w:hAnsiTheme="majorBidi" w:cstheme="majorBidi"/>
          <w:spacing w:val="-27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objectives</w:t>
      </w:r>
      <w:r w:rsidRPr="006B3095">
        <w:rPr>
          <w:rFonts w:asciiTheme="majorBidi" w:hAnsiTheme="majorBidi" w:cstheme="majorBidi"/>
          <w:spacing w:val="-23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and</w:t>
      </w:r>
      <w:r w:rsidRPr="006B3095">
        <w:rPr>
          <w:rFonts w:asciiTheme="majorBidi" w:hAnsiTheme="majorBidi" w:cstheme="majorBidi"/>
          <w:spacing w:val="-30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policies,</w:t>
      </w:r>
      <w:r w:rsidRPr="006B3095">
        <w:rPr>
          <w:rFonts w:asciiTheme="majorBidi" w:hAnsiTheme="majorBidi" w:cstheme="majorBidi"/>
          <w:spacing w:val="-32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financial</w:t>
      </w:r>
      <w:r w:rsidRPr="006B3095">
        <w:rPr>
          <w:rFonts w:asciiTheme="majorBidi" w:hAnsiTheme="majorBidi" w:cstheme="majorBidi"/>
          <w:spacing w:val="-27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statement</w:t>
      </w:r>
      <w:r w:rsidRPr="006B3095">
        <w:rPr>
          <w:rFonts w:asciiTheme="majorBidi" w:hAnsiTheme="majorBidi" w:cstheme="majorBidi"/>
          <w:spacing w:val="-25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preparation, and bank reconciliation review</w:t>
      </w:r>
      <w:r w:rsidRPr="006B3095">
        <w:rPr>
          <w:rFonts w:asciiTheme="majorBidi" w:hAnsiTheme="majorBidi" w:cstheme="majorBidi"/>
          <w:spacing w:val="-1"/>
          <w:w w:val="110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10"/>
          <w:sz w:val="24"/>
          <w:szCs w:val="24"/>
        </w:rPr>
        <w:t>approval.</w:t>
      </w:r>
    </w:p>
    <w:p w14:paraId="179A8697" w14:textId="77777777" w:rsidR="00B2638E" w:rsidRPr="006B3095" w:rsidRDefault="00B2638E" w:rsidP="00B2638E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1E2A1CB5" w14:textId="72AFBB5E" w:rsidR="00B2638E" w:rsidRPr="006B3095" w:rsidRDefault="00B2638E" w:rsidP="00E40668">
      <w:pPr>
        <w:pStyle w:val="BodyText"/>
        <w:spacing w:line="331" w:lineRule="auto"/>
        <w:ind w:right="465"/>
        <w:rPr>
          <w:rFonts w:asciiTheme="majorBidi" w:hAnsiTheme="majorBidi" w:cstheme="majorBidi"/>
          <w:sz w:val="24"/>
          <w:szCs w:val="24"/>
        </w:rPr>
      </w:pPr>
      <w:r w:rsidRPr="006B3095">
        <w:rPr>
          <w:rFonts w:asciiTheme="majorBidi" w:hAnsiTheme="majorBidi" w:cstheme="majorBidi"/>
          <w:w w:val="105"/>
          <w:sz w:val="24"/>
          <w:szCs w:val="24"/>
        </w:rPr>
        <w:t>The CFO is responsible for the preparation of the Chart of Accounts, reporting formats, accounts payable processing, payroll input</w:t>
      </w:r>
      <w:r w:rsidR="00B04FAE">
        <w:rPr>
          <w:rFonts w:asciiTheme="majorBidi" w:hAnsiTheme="majorBidi" w:cstheme="majorBidi"/>
          <w:w w:val="105"/>
          <w:sz w:val="24"/>
          <w:szCs w:val="24"/>
        </w:rPr>
        <w:t>,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 xml:space="preserve"> and payroll processing, all payroll taxes</w:t>
      </w:r>
      <w:r w:rsidR="007E1A42">
        <w:rPr>
          <w:rFonts w:asciiTheme="majorBidi" w:hAnsiTheme="majorBidi" w:cstheme="majorBidi"/>
          <w:w w:val="105"/>
          <w:sz w:val="24"/>
          <w:szCs w:val="24"/>
        </w:rPr>
        <w:t>,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="00B04FAE">
        <w:rPr>
          <w:rFonts w:asciiTheme="majorBidi" w:hAnsiTheme="majorBidi" w:cstheme="majorBidi"/>
          <w:w w:val="105"/>
          <w:sz w:val="24"/>
          <w:szCs w:val="24"/>
        </w:rPr>
        <w:t>including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 xml:space="preserve"> quarterly and yearend tax forms, cash receipts input, journal</w:t>
      </w:r>
      <w:r w:rsidR="00B04FAE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entries for general ledger, form 1099 and W2 reporting, and overseeing form 990 reporting and audits by an outside CPA</w:t>
      </w:r>
      <w:r w:rsidRPr="006B3095">
        <w:rPr>
          <w:rFonts w:asciiTheme="majorBidi" w:hAnsiTheme="majorBidi" w:cstheme="majorBidi"/>
          <w:spacing w:val="27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firm.</w:t>
      </w:r>
    </w:p>
    <w:p w14:paraId="509C1B07" w14:textId="77777777" w:rsidR="00B2638E" w:rsidRPr="006B3095" w:rsidRDefault="00B2638E" w:rsidP="00E40668">
      <w:pPr>
        <w:pStyle w:val="BodyText"/>
        <w:spacing w:before="195" w:line="343" w:lineRule="auto"/>
        <w:ind w:right="497"/>
        <w:rPr>
          <w:rFonts w:asciiTheme="majorBidi" w:hAnsiTheme="majorBidi" w:cstheme="majorBidi"/>
          <w:sz w:val="24"/>
          <w:szCs w:val="24"/>
        </w:rPr>
      </w:pPr>
      <w:r w:rsidRPr="006B3095">
        <w:rPr>
          <w:rFonts w:asciiTheme="majorBidi" w:hAnsiTheme="majorBidi" w:cstheme="majorBidi"/>
          <w:w w:val="105"/>
          <w:sz w:val="24"/>
          <w:szCs w:val="24"/>
        </w:rPr>
        <w:t>Financial Statements: The financial statements shall be prepared on an accrual basis in accordance with Generally Accepted Accounting Principles (GAAP).</w:t>
      </w:r>
    </w:p>
    <w:p w14:paraId="0FC5BC21" w14:textId="77777777" w:rsidR="00B2638E" w:rsidRPr="006B3095" w:rsidRDefault="00B2638E" w:rsidP="00B2638E">
      <w:pPr>
        <w:pStyle w:val="BodyText"/>
        <w:spacing w:before="7"/>
        <w:rPr>
          <w:rFonts w:asciiTheme="majorBidi" w:hAnsiTheme="majorBidi" w:cstheme="majorBidi"/>
          <w:sz w:val="24"/>
          <w:szCs w:val="24"/>
        </w:rPr>
      </w:pPr>
    </w:p>
    <w:p w14:paraId="2FCEF6A3" w14:textId="6AA49673" w:rsidR="00B2638E" w:rsidRPr="006B3095" w:rsidRDefault="00B2638E" w:rsidP="00E40668">
      <w:pPr>
        <w:pStyle w:val="BodyText"/>
        <w:spacing w:before="1" w:line="340" w:lineRule="auto"/>
        <w:ind w:right="543"/>
        <w:rPr>
          <w:rFonts w:asciiTheme="majorBidi" w:hAnsiTheme="majorBidi" w:cstheme="majorBidi"/>
          <w:sz w:val="24"/>
          <w:szCs w:val="24"/>
        </w:rPr>
      </w:pPr>
      <w:r w:rsidRPr="006B3095">
        <w:rPr>
          <w:rFonts w:asciiTheme="majorBidi" w:hAnsiTheme="majorBidi" w:cstheme="majorBidi"/>
          <w:w w:val="105"/>
          <w:sz w:val="24"/>
          <w:szCs w:val="24"/>
        </w:rPr>
        <w:t>Under</w:t>
      </w:r>
      <w:r w:rsidRPr="006B3095">
        <w:rPr>
          <w:rFonts w:asciiTheme="majorBidi" w:hAnsiTheme="majorBidi" w:cstheme="majorBidi"/>
          <w:spacing w:val="-19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GAAP,</w:t>
      </w:r>
      <w:r w:rsidRPr="006B3095">
        <w:rPr>
          <w:rFonts w:asciiTheme="majorBidi" w:hAnsiTheme="majorBidi" w:cstheme="majorBidi"/>
          <w:spacing w:val="-15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net</w:t>
      </w:r>
      <w:r w:rsidRPr="006B3095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assets</w:t>
      </w:r>
      <w:r w:rsidRPr="006B3095">
        <w:rPr>
          <w:rFonts w:asciiTheme="majorBidi" w:hAnsiTheme="majorBidi" w:cstheme="majorBidi"/>
          <w:spacing w:val="-15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and</w:t>
      </w:r>
      <w:r w:rsidRPr="006B3095">
        <w:rPr>
          <w:rFonts w:asciiTheme="majorBidi" w:hAnsiTheme="majorBidi" w:cstheme="majorBidi"/>
          <w:spacing w:val="-16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revenues,</w:t>
      </w:r>
      <w:r w:rsidRPr="006B3095">
        <w:rPr>
          <w:rFonts w:asciiTheme="majorBidi" w:hAnsiTheme="majorBidi" w:cstheme="majorBidi"/>
          <w:spacing w:val="-13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expenses,</w:t>
      </w:r>
      <w:r w:rsidRPr="006B3095">
        <w:rPr>
          <w:rFonts w:asciiTheme="majorBidi" w:hAnsiTheme="majorBidi" w:cstheme="majorBidi"/>
          <w:spacing w:val="-13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gains,</w:t>
      </w:r>
      <w:r w:rsidRPr="006B3095">
        <w:rPr>
          <w:rFonts w:asciiTheme="majorBidi" w:hAnsiTheme="majorBidi" w:cstheme="majorBidi"/>
          <w:spacing w:val="-20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and</w:t>
      </w:r>
      <w:r w:rsidRPr="006B3095">
        <w:rPr>
          <w:rFonts w:asciiTheme="majorBidi" w:hAnsiTheme="majorBidi" w:cstheme="majorBidi"/>
          <w:spacing w:val="-18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losses</w:t>
      </w:r>
      <w:r w:rsidRPr="006B3095">
        <w:rPr>
          <w:rFonts w:asciiTheme="majorBidi" w:hAnsiTheme="majorBidi" w:cstheme="majorBidi"/>
          <w:spacing w:val="-18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are</w:t>
      </w:r>
      <w:r w:rsidRPr="006B3095">
        <w:rPr>
          <w:rFonts w:asciiTheme="majorBidi" w:hAnsiTheme="majorBidi" w:cstheme="majorBidi"/>
          <w:spacing w:val="-18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classified</w:t>
      </w:r>
      <w:r w:rsidRPr="006B3095">
        <w:rPr>
          <w:rFonts w:asciiTheme="majorBidi" w:hAnsiTheme="majorBidi" w:cstheme="majorBidi"/>
          <w:spacing w:val="-14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based</w:t>
      </w:r>
      <w:r w:rsidRPr="006B3095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on</w:t>
      </w:r>
      <w:r w:rsidRPr="006B3095">
        <w:rPr>
          <w:rFonts w:asciiTheme="majorBidi" w:hAnsiTheme="majorBidi" w:cstheme="majorBidi"/>
          <w:spacing w:val="-24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the</w:t>
      </w:r>
      <w:r w:rsidRPr="006B3095">
        <w:rPr>
          <w:rFonts w:asciiTheme="majorBidi" w:hAnsiTheme="majorBidi" w:cstheme="majorBidi"/>
          <w:spacing w:val="-19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existence or absence of donor-imposed restrictions. Accordingly, the net assets of the agency and changes shall be classified as unrestricted, temporarily restricted</w:t>
      </w:r>
      <w:r w:rsidR="00B04FAE">
        <w:rPr>
          <w:rFonts w:asciiTheme="majorBidi" w:hAnsiTheme="majorBidi" w:cstheme="majorBidi"/>
          <w:w w:val="105"/>
          <w:sz w:val="24"/>
          <w:szCs w:val="24"/>
        </w:rPr>
        <w:t>,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 xml:space="preserve"> and permanently</w:t>
      </w:r>
      <w:r w:rsidRPr="006B3095">
        <w:rPr>
          <w:rFonts w:asciiTheme="majorBidi" w:hAnsiTheme="majorBidi" w:cstheme="majorBidi"/>
          <w:spacing w:val="19"/>
          <w:w w:val="105"/>
          <w:sz w:val="24"/>
          <w:szCs w:val="24"/>
        </w:rPr>
        <w:t xml:space="preserve"> 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restricted.</w:t>
      </w:r>
    </w:p>
    <w:p w14:paraId="31D88AFB" w14:textId="77777777" w:rsidR="00B2638E" w:rsidRPr="006B3095" w:rsidRDefault="00B2638E" w:rsidP="00B2638E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14:paraId="5B5888C3" w14:textId="00C115C3" w:rsidR="00B2638E" w:rsidRPr="006B3095" w:rsidRDefault="00B2638E" w:rsidP="00E40668">
      <w:pPr>
        <w:pStyle w:val="BodyText"/>
        <w:spacing w:before="1" w:line="343" w:lineRule="auto"/>
        <w:ind w:right="543"/>
        <w:rPr>
          <w:rFonts w:asciiTheme="majorBidi" w:hAnsiTheme="majorBidi" w:cstheme="majorBidi"/>
          <w:sz w:val="24"/>
          <w:szCs w:val="24"/>
        </w:rPr>
      </w:pPr>
      <w:r w:rsidRPr="006B3095">
        <w:rPr>
          <w:rFonts w:asciiTheme="majorBidi" w:hAnsiTheme="majorBidi" w:cstheme="majorBidi"/>
          <w:w w:val="105"/>
          <w:sz w:val="24"/>
          <w:szCs w:val="24"/>
        </w:rPr>
        <w:t xml:space="preserve">The CFO shall prepare and present Monthly Financial Statements and present them to the </w:t>
      </w:r>
      <w:r w:rsidR="00540548">
        <w:rPr>
          <w:rFonts w:asciiTheme="majorBidi" w:hAnsiTheme="majorBidi" w:cstheme="majorBidi"/>
          <w:w w:val="105"/>
          <w:sz w:val="24"/>
          <w:szCs w:val="24"/>
        </w:rPr>
        <w:t>College President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 xml:space="preserve"> and Board President for review.</w:t>
      </w:r>
    </w:p>
    <w:p w14:paraId="6E8388EA" w14:textId="77777777" w:rsidR="00B2638E" w:rsidRPr="006B3095" w:rsidRDefault="00B2638E" w:rsidP="00B2638E">
      <w:pPr>
        <w:pStyle w:val="BodyText"/>
        <w:spacing w:before="7"/>
        <w:rPr>
          <w:rFonts w:asciiTheme="majorBidi" w:hAnsiTheme="majorBidi" w:cstheme="majorBidi"/>
          <w:sz w:val="24"/>
          <w:szCs w:val="24"/>
        </w:rPr>
      </w:pPr>
    </w:p>
    <w:p w14:paraId="47285E50" w14:textId="184A4661" w:rsidR="00B2638E" w:rsidRPr="006B3095" w:rsidRDefault="00B2638E" w:rsidP="00E40668">
      <w:pPr>
        <w:pStyle w:val="BodyText"/>
        <w:spacing w:before="1" w:line="340" w:lineRule="auto"/>
        <w:ind w:right="784"/>
        <w:rPr>
          <w:rFonts w:asciiTheme="majorBidi" w:hAnsiTheme="majorBidi" w:cstheme="majorBidi"/>
          <w:sz w:val="24"/>
          <w:szCs w:val="24"/>
        </w:rPr>
      </w:pPr>
      <w:r w:rsidRPr="006B3095">
        <w:rPr>
          <w:rFonts w:asciiTheme="majorBidi" w:hAnsiTheme="majorBidi" w:cstheme="majorBidi"/>
          <w:w w:val="105"/>
          <w:sz w:val="24"/>
          <w:szCs w:val="24"/>
        </w:rPr>
        <w:t xml:space="preserve">Audit: Kingdom College will have an audit of its financial statements annually, within 4 months of the end of each fiscal year. </w:t>
      </w:r>
      <w:r w:rsidR="00B04FAE">
        <w:rPr>
          <w:rFonts w:asciiTheme="majorBidi" w:hAnsiTheme="majorBidi" w:cstheme="majorBidi"/>
          <w:w w:val="105"/>
          <w:sz w:val="24"/>
          <w:szCs w:val="24"/>
        </w:rPr>
        <w:t>A firm of independent CPAs shall complete the audit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 xml:space="preserve">. The CFO shall </w:t>
      </w:r>
      <w:r w:rsidR="00B04FAE">
        <w:rPr>
          <w:rFonts w:asciiTheme="majorBidi" w:hAnsiTheme="majorBidi" w:cstheme="majorBidi"/>
          <w:w w:val="105"/>
          <w:sz w:val="24"/>
          <w:szCs w:val="24"/>
        </w:rPr>
        <w:t xml:space="preserve">be directly responsible for overseeing the </w:t>
      </w:r>
      <w:r w:rsidR="00FB37DE">
        <w:rPr>
          <w:rFonts w:asciiTheme="majorBidi" w:hAnsiTheme="majorBidi" w:cstheme="majorBidi"/>
          <w:w w:val="105"/>
          <w:sz w:val="24"/>
          <w:szCs w:val="24"/>
        </w:rPr>
        <w:t>implementation of the annual financial audit</w:t>
      </w:r>
      <w:r w:rsidRPr="006B3095">
        <w:rPr>
          <w:rFonts w:asciiTheme="majorBidi" w:hAnsiTheme="majorBidi" w:cstheme="majorBidi"/>
          <w:w w:val="105"/>
          <w:sz w:val="24"/>
          <w:szCs w:val="24"/>
        </w:rPr>
        <w:t>.</w:t>
      </w:r>
    </w:p>
    <w:p w14:paraId="6EA41786" w14:textId="77777777" w:rsidR="00B2638E" w:rsidRPr="00B2638E" w:rsidRDefault="00B2638E" w:rsidP="006B3095">
      <w:pPr>
        <w:pStyle w:val="BodyText"/>
        <w:spacing w:before="5"/>
        <w:rPr>
          <w:sz w:val="24"/>
          <w:szCs w:val="24"/>
        </w:rPr>
      </w:pPr>
    </w:p>
    <w:sectPr w:rsidR="00B2638E" w:rsidRPr="00B26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F02A8"/>
    <w:multiLevelType w:val="hybridMultilevel"/>
    <w:tmpl w:val="50DA2DB2"/>
    <w:lvl w:ilvl="0" w:tplc="593CAEDE">
      <w:start w:val="1"/>
      <w:numFmt w:val="decimal"/>
      <w:lvlText w:val="%1."/>
      <w:lvlJc w:val="left"/>
      <w:pPr>
        <w:ind w:left="833" w:hanging="372"/>
        <w:jc w:val="left"/>
      </w:pPr>
      <w:rPr>
        <w:rFonts w:ascii="Arial" w:eastAsia="Arial" w:hAnsi="Arial" w:cs="Arial" w:hint="default"/>
        <w:spacing w:val="-1"/>
        <w:w w:val="107"/>
        <w:sz w:val="20"/>
        <w:szCs w:val="20"/>
      </w:rPr>
    </w:lvl>
    <w:lvl w:ilvl="1" w:tplc="0B3AF89A">
      <w:numFmt w:val="bullet"/>
      <w:lvlText w:val="•"/>
      <w:lvlJc w:val="left"/>
      <w:pPr>
        <w:ind w:left="1778" w:hanging="372"/>
      </w:pPr>
      <w:rPr>
        <w:rFonts w:hint="default"/>
      </w:rPr>
    </w:lvl>
    <w:lvl w:ilvl="2" w:tplc="B43E28F8">
      <w:numFmt w:val="bullet"/>
      <w:lvlText w:val="•"/>
      <w:lvlJc w:val="left"/>
      <w:pPr>
        <w:ind w:left="2716" w:hanging="372"/>
      </w:pPr>
      <w:rPr>
        <w:rFonts w:hint="default"/>
      </w:rPr>
    </w:lvl>
    <w:lvl w:ilvl="3" w:tplc="FBA6C560">
      <w:numFmt w:val="bullet"/>
      <w:lvlText w:val="•"/>
      <w:lvlJc w:val="left"/>
      <w:pPr>
        <w:ind w:left="3654" w:hanging="372"/>
      </w:pPr>
      <w:rPr>
        <w:rFonts w:hint="default"/>
      </w:rPr>
    </w:lvl>
    <w:lvl w:ilvl="4" w:tplc="80B89DFC">
      <w:numFmt w:val="bullet"/>
      <w:lvlText w:val="•"/>
      <w:lvlJc w:val="left"/>
      <w:pPr>
        <w:ind w:left="4592" w:hanging="372"/>
      </w:pPr>
      <w:rPr>
        <w:rFonts w:hint="default"/>
      </w:rPr>
    </w:lvl>
    <w:lvl w:ilvl="5" w:tplc="3A2E4242">
      <w:numFmt w:val="bullet"/>
      <w:lvlText w:val="•"/>
      <w:lvlJc w:val="left"/>
      <w:pPr>
        <w:ind w:left="5530" w:hanging="372"/>
      </w:pPr>
      <w:rPr>
        <w:rFonts w:hint="default"/>
      </w:rPr>
    </w:lvl>
    <w:lvl w:ilvl="6" w:tplc="746826A2">
      <w:numFmt w:val="bullet"/>
      <w:lvlText w:val="•"/>
      <w:lvlJc w:val="left"/>
      <w:pPr>
        <w:ind w:left="6468" w:hanging="372"/>
      </w:pPr>
      <w:rPr>
        <w:rFonts w:hint="default"/>
      </w:rPr>
    </w:lvl>
    <w:lvl w:ilvl="7" w:tplc="A0067992">
      <w:numFmt w:val="bullet"/>
      <w:lvlText w:val="•"/>
      <w:lvlJc w:val="left"/>
      <w:pPr>
        <w:ind w:left="7406" w:hanging="372"/>
      </w:pPr>
      <w:rPr>
        <w:rFonts w:hint="default"/>
      </w:rPr>
    </w:lvl>
    <w:lvl w:ilvl="8" w:tplc="4EF6CD4C">
      <w:numFmt w:val="bullet"/>
      <w:lvlText w:val="•"/>
      <w:lvlJc w:val="left"/>
      <w:pPr>
        <w:ind w:left="8344" w:hanging="372"/>
      </w:pPr>
      <w:rPr>
        <w:rFonts w:hint="default"/>
      </w:rPr>
    </w:lvl>
  </w:abstractNum>
  <w:num w:numId="1" w16cid:durableId="61999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38E"/>
    <w:rsid w:val="003F723B"/>
    <w:rsid w:val="00410FA6"/>
    <w:rsid w:val="004B6B32"/>
    <w:rsid w:val="00540548"/>
    <w:rsid w:val="006B3095"/>
    <w:rsid w:val="007E1A42"/>
    <w:rsid w:val="00B04FAE"/>
    <w:rsid w:val="00B2638E"/>
    <w:rsid w:val="00C04C43"/>
    <w:rsid w:val="00C6745F"/>
    <w:rsid w:val="00D352CD"/>
    <w:rsid w:val="00E40668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BEC43"/>
  <w15:docId w15:val="{00B525D5-15A7-45E1-9BE4-EC722ED2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638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2638E"/>
    <w:rPr>
      <w:rFonts w:ascii="Arial" w:eastAsia="Arial" w:hAnsi="Arial" w:cs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B2638E"/>
    <w:pPr>
      <w:ind w:left="1326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A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LW5</dc:creator>
  <cp:lastModifiedBy>Laurie Summerlin</cp:lastModifiedBy>
  <cp:revision>8</cp:revision>
  <dcterms:created xsi:type="dcterms:W3CDTF">2023-04-20T20:43:00Z</dcterms:created>
  <dcterms:modified xsi:type="dcterms:W3CDTF">2025-11-20T21:13:00Z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9582a9caac43be048cb4332f7f57520b86abefcdd4d4cf6b67675a9018749d8e</vt:lpwstr>
  </property>
</Properties>
</file>